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AF58" w14:textId="3628B065" w:rsidR="00EA7C15" w:rsidRDefault="00D41FD1">
      <w:pPr>
        <w:rPr>
          <w:b/>
          <w:bCs/>
          <w:u w:val="single"/>
        </w:rPr>
      </w:pPr>
      <w:r>
        <w:rPr>
          <w:b/>
          <w:bCs/>
          <w:u w:val="single"/>
        </w:rPr>
        <w:t>Hutchinson</w:t>
      </w:r>
      <w:r w:rsidR="00A213E1">
        <w:rPr>
          <w:b/>
          <w:bCs/>
          <w:u w:val="single"/>
        </w:rPr>
        <w:t xml:space="preserve"> </w:t>
      </w:r>
      <w:r w:rsidR="00BC298F" w:rsidRPr="00776B26">
        <w:rPr>
          <w:b/>
          <w:bCs/>
          <w:u w:val="single"/>
        </w:rPr>
        <w:t xml:space="preserve">data storage </w:t>
      </w:r>
      <w:r w:rsidR="008F73E0">
        <w:rPr>
          <w:b/>
          <w:bCs/>
          <w:u w:val="single"/>
        </w:rPr>
        <w:t>policy</w:t>
      </w:r>
      <w:r w:rsidR="006F64BB">
        <w:rPr>
          <w:b/>
          <w:bCs/>
          <w:u w:val="single"/>
        </w:rPr>
        <w:t xml:space="preserve"> creation</w:t>
      </w:r>
    </w:p>
    <w:p w14:paraId="3A29F529" w14:textId="5F60D1E7" w:rsidR="00661284" w:rsidRDefault="00661284">
      <w:r>
        <w:t xml:space="preserve">As one of the groups moving from Hutch IT to the Clinical School Computing Service (CSCS), we need your support to deliver the migration project. </w:t>
      </w:r>
      <w:r w:rsidR="00C34009">
        <w:t xml:space="preserve"> </w:t>
      </w:r>
      <w:r w:rsidR="00DB1530">
        <w:t xml:space="preserve">This purpose of this document is to help you make good decisions regarding what to do with your data. </w:t>
      </w:r>
    </w:p>
    <w:p w14:paraId="40E3A4A1" w14:textId="364D8258" w:rsidR="00DB1530" w:rsidRDefault="00C34009">
      <w:r>
        <w:t>It is important that you determine what to do with your data because</w:t>
      </w:r>
      <w:r w:rsidR="00DB1530">
        <w:t xml:space="preserve"> investing time in effective data management will produce the following benefits: </w:t>
      </w:r>
    </w:p>
    <w:p w14:paraId="5D7507C4" w14:textId="77777777" w:rsidR="00DB1530" w:rsidRDefault="00DB1530" w:rsidP="00DB1530">
      <w:pPr>
        <w:pStyle w:val="ListParagraph"/>
        <w:numPr>
          <w:ilvl w:val="0"/>
          <w:numId w:val="16"/>
        </w:numPr>
      </w:pPr>
      <w:r>
        <w:t xml:space="preserve">Reduced monthly storage costs for your group, less data equals storage. </w:t>
      </w:r>
    </w:p>
    <w:p w14:paraId="6DB7E515" w14:textId="77777777" w:rsidR="00DB1530" w:rsidRPr="00870291" w:rsidRDefault="00DB1530" w:rsidP="00DB1530">
      <w:pPr>
        <w:pStyle w:val="ListParagraph"/>
        <w:numPr>
          <w:ilvl w:val="0"/>
          <w:numId w:val="16"/>
        </w:numPr>
      </w:pPr>
      <w:r>
        <w:t>Reduced transfer time for moving the data to its new Service.</w:t>
      </w:r>
    </w:p>
    <w:p w14:paraId="42DC52A3" w14:textId="77777777" w:rsidR="00DB1530" w:rsidRPr="00F65FA3" w:rsidRDefault="00DB1530" w:rsidP="00DB1530">
      <w:pPr>
        <w:pStyle w:val="ListParagraph"/>
        <w:numPr>
          <w:ilvl w:val="0"/>
          <w:numId w:val="16"/>
        </w:numPr>
        <w:rPr>
          <w:b/>
          <w:bCs/>
        </w:rPr>
      </w:pPr>
      <w:r>
        <w:t>Reduced r</w:t>
      </w:r>
      <w:r w:rsidRPr="00870291">
        <w:t xml:space="preserve">isk </w:t>
      </w:r>
      <w:r>
        <w:t>during the data transfer process, (moving a high number of large data volumes across networks increases technical complexity)</w:t>
      </w:r>
    </w:p>
    <w:p w14:paraId="195B025F" w14:textId="77777777" w:rsidR="00DB1530" w:rsidRPr="00F65FA3" w:rsidRDefault="00DB1530" w:rsidP="00DB1530">
      <w:pPr>
        <w:pStyle w:val="ListParagraph"/>
        <w:numPr>
          <w:ilvl w:val="0"/>
          <w:numId w:val="16"/>
        </w:numPr>
      </w:pPr>
      <w:r>
        <w:t>Data will be easier to manage / improved search function</w:t>
      </w:r>
    </w:p>
    <w:p w14:paraId="4F4EB679" w14:textId="1B04050F" w:rsidR="00661284" w:rsidRDefault="00661284">
      <w:r>
        <w:t>CSCS</w:t>
      </w:r>
      <w:r w:rsidR="00776B26">
        <w:t xml:space="preserve"> </w:t>
      </w:r>
      <w:r w:rsidR="00A92B9E">
        <w:t>recommend</w:t>
      </w:r>
      <w:r w:rsidR="00776B26">
        <w:t xml:space="preserve"> </w:t>
      </w:r>
      <w:r w:rsidR="000E084B">
        <w:t xml:space="preserve">that </w:t>
      </w:r>
      <w:r>
        <w:t xml:space="preserve">you prioritise </w:t>
      </w:r>
      <w:r w:rsidR="00DE66A6">
        <w:t xml:space="preserve">establishing some </w:t>
      </w:r>
      <w:r w:rsidR="00DD1977">
        <w:t>data storage policies</w:t>
      </w:r>
      <w:r w:rsidR="00A92B9E">
        <w:t xml:space="preserve"> </w:t>
      </w:r>
      <w:r w:rsidR="00DE66A6">
        <w:t>within your group, (if you do not have these already), as these will help you m</w:t>
      </w:r>
      <w:r w:rsidR="00DD1977">
        <w:t xml:space="preserve">ake </w:t>
      </w:r>
      <w:r w:rsidR="00DE66A6">
        <w:t>better</w:t>
      </w:r>
      <w:r w:rsidR="00DD1977">
        <w:t xml:space="preserve"> decisions regarding data </w:t>
      </w:r>
      <w:r w:rsidR="00DE66A6">
        <w:t>management going forward</w:t>
      </w:r>
      <w:r w:rsidR="00DD1977">
        <w:t>.</w:t>
      </w:r>
    </w:p>
    <w:p w14:paraId="6A0C28B8" w14:textId="151891F6" w:rsidR="00DD1977" w:rsidRDefault="006F64BB">
      <w:r>
        <w:t>At a minimum, y</w:t>
      </w:r>
      <w:r w:rsidR="00DD1977">
        <w:t xml:space="preserve">ou should consider </w:t>
      </w:r>
      <w:r w:rsidR="003065AD">
        <w:t>4</w:t>
      </w:r>
      <w:r w:rsidR="00776B26">
        <w:t xml:space="preserve"> </w:t>
      </w:r>
      <w:r w:rsidR="00476B13">
        <w:t>types</w:t>
      </w:r>
      <w:r w:rsidR="00776B26">
        <w:t xml:space="preserve"> </w:t>
      </w:r>
      <w:r>
        <w:t>of data:</w:t>
      </w:r>
      <w:r w:rsidR="00776B26">
        <w:t xml:space="preserve"> Personal </w:t>
      </w:r>
      <w:r w:rsidR="000E084B">
        <w:t>D</w:t>
      </w:r>
      <w:r w:rsidR="00776B26">
        <w:t xml:space="preserve">ata, Live </w:t>
      </w:r>
      <w:r w:rsidR="000E084B">
        <w:t>D</w:t>
      </w:r>
      <w:r w:rsidR="00776B26">
        <w:t>ata</w:t>
      </w:r>
      <w:r w:rsidR="003065AD">
        <w:t>,</w:t>
      </w:r>
      <w:r>
        <w:t xml:space="preserve"> </w:t>
      </w:r>
      <w:r w:rsidR="00776B26">
        <w:t>Cold data</w:t>
      </w:r>
      <w:r>
        <w:t xml:space="preserve"> </w:t>
      </w:r>
      <w:r w:rsidR="003065AD">
        <w:t>and Computational Data; (d</w:t>
      </w:r>
      <w:r>
        <w:t>epending on your needs</w:t>
      </w:r>
      <w:r w:rsidR="003065AD">
        <w:t>,</w:t>
      </w:r>
      <w:r>
        <w:t xml:space="preserve"> you may </w:t>
      </w:r>
      <w:r w:rsidR="003065AD">
        <w:t xml:space="preserve">actually have </w:t>
      </w:r>
      <w:r w:rsidR="00DE66A6">
        <w:t>other additional data</w:t>
      </w:r>
      <w:r w:rsidR="003065AD">
        <w:t xml:space="preserve"> types). </w:t>
      </w:r>
    </w:p>
    <w:p w14:paraId="2967B2A5" w14:textId="2DF80D62" w:rsidR="000E084B" w:rsidRDefault="00DD1977">
      <w:r>
        <w:t xml:space="preserve">You should consider the University </w:t>
      </w:r>
      <w:hyperlink r:id="rId11" w:history="1">
        <w:r w:rsidR="000E084B" w:rsidRPr="00DD1977">
          <w:rPr>
            <w:rStyle w:val="Hyperlink"/>
          </w:rPr>
          <w:t>guidelines</w:t>
        </w:r>
      </w:hyperlink>
      <w:r w:rsidR="000E084B">
        <w:t xml:space="preserve"> </w:t>
      </w:r>
      <w:r>
        <w:t xml:space="preserve">when creating policies around data storage.  The suggestions below are appropriate for </w:t>
      </w:r>
      <w:r w:rsidR="000E084B">
        <w:t xml:space="preserve">Level 0-2 </w:t>
      </w:r>
      <w:r>
        <w:t xml:space="preserve">data </w:t>
      </w:r>
      <w:r w:rsidR="000E084B">
        <w:t xml:space="preserve">as classified by the University. Level 3 </w:t>
      </w:r>
      <w:r w:rsidR="009B64A1">
        <w:t>data is subject to different controls and rules</w:t>
      </w:r>
      <w:r>
        <w:t xml:space="preserve"> and may need fleshing out to meet your </w:t>
      </w:r>
      <w:r w:rsidR="00A92B9E">
        <w:t>group’s</w:t>
      </w:r>
      <w:r>
        <w:t xml:space="preserve"> needs</w:t>
      </w:r>
      <w:r w:rsidR="009B64A1">
        <w:t>.</w:t>
      </w:r>
    </w:p>
    <w:p w14:paraId="41C119D8" w14:textId="23EE9335" w:rsidR="00476B13" w:rsidRDefault="00476B13">
      <w:r>
        <w:t xml:space="preserve">Acceptable storage and security measures for Level 2 data </w:t>
      </w:r>
      <w:r w:rsidR="00DE66A6">
        <w:t xml:space="preserve">also </w:t>
      </w:r>
      <w:r>
        <w:t>include being geographically dispersed, regular backups and ability to retrieve historical data.</w:t>
      </w:r>
    </w:p>
    <w:p w14:paraId="4EEB87B4" w14:textId="3088CC27" w:rsidR="00DE66A6" w:rsidRDefault="00DE66A6">
      <w:r w:rsidRPr="00DE66A6">
        <w:t>After classifying and establishing your policies, following the guidance below</w:t>
      </w:r>
      <w:r w:rsidR="006B79DD">
        <w:t xml:space="preserve"> </w:t>
      </w:r>
      <w:r w:rsidR="00C34009">
        <w:t>t</w:t>
      </w:r>
      <w:r w:rsidRPr="00DE66A6">
        <w:t xml:space="preserve">here will be a need to prepare your data, ready for migration. This will involve </w:t>
      </w:r>
    </w:p>
    <w:p w14:paraId="713CDCFB" w14:textId="77777777" w:rsidR="00DE66A6" w:rsidRDefault="00DE66A6" w:rsidP="00DE66A6">
      <w:pPr>
        <w:pStyle w:val="ListParagraph"/>
        <w:numPr>
          <w:ilvl w:val="0"/>
          <w:numId w:val="17"/>
        </w:numPr>
      </w:pPr>
      <w:r w:rsidRPr="00DE66A6">
        <w:t xml:space="preserve">moving/classifying your data into these different types, </w:t>
      </w:r>
    </w:p>
    <w:p w14:paraId="7BA82535" w14:textId="77777777" w:rsidR="00DE66A6" w:rsidRDefault="00DE66A6" w:rsidP="00DE66A6">
      <w:pPr>
        <w:pStyle w:val="ListParagraph"/>
        <w:numPr>
          <w:ilvl w:val="0"/>
          <w:numId w:val="17"/>
        </w:numPr>
      </w:pPr>
      <w:r w:rsidRPr="00DE66A6">
        <w:t xml:space="preserve">appropriately labelling/indexing files/folder, </w:t>
      </w:r>
    </w:p>
    <w:p w14:paraId="627CD82F" w14:textId="2A2A4841" w:rsidR="00DE66A6" w:rsidRDefault="00DE66A6" w:rsidP="00DE66A6">
      <w:pPr>
        <w:pStyle w:val="ListParagraph"/>
        <w:numPr>
          <w:ilvl w:val="0"/>
          <w:numId w:val="17"/>
        </w:numPr>
      </w:pPr>
      <w:r w:rsidRPr="00DE66A6">
        <w:t>compressing larger datasets or .tar small sets of files</w:t>
      </w:r>
      <w:r>
        <w:t>,</w:t>
      </w:r>
      <w:r w:rsidRPr="00DE66A6">
        <w:t xml:space="preserve"> </w:t>
      </w:r>
    </w:p>
    <w:p w14:paraId="3A4FB45B" w14:textId="5485546D" w:rsidR="00DE66A6" w:rsidRPr="00DE66A6" w:rsidRDefault="00DE66A6" w:rsidP="00DE66A6">
      <w:pPr>
        <w:pStyle w:val="ListParagraph"/>
        <w:numPr>
          <w:ilvl w:val="0"/>
          <w:numId w:val="17"/>
        </w:numPr>
      </w:pPr>
      <w:r>
        <w:t>d</w:t>
      </w:r>
      <w:r w:rsidRPr="00DE66A6">
        <w:t>ata housekeeping and removal of un-needed files and data</w:t>
      </w:r>
      <w:r>
        <w:t>.</w:t>
      </w:r>
    </w:p>
    <w:p w14:paraId="5D578DB2" w14:textId="77777777" w:rsidR="00DE66A6" w:rsidRDefault="00DE66A6">
      <w:pPr>
        <w:rPr>
          <w:b/>
          <w:bCs/>
          <w:u w:val="single"/>
        </w:rPr>
      </w:pPr>
    </w:p>
    <w:p w14:paraId="7B0ED114" w14:textId="2FD233C7" w:rsidR="00BC298F" w:rsidRPr="00776B26" w:rsidRDefault="00BC298F">
      <w:pPr>
        <w:rPr>
          <w:b/>
          <w:bCs/>
          <w:u w:val="single"/>
        </w:rPr>
      </w:pPr>
      <w:r w:rsidRPr="00776B26">
        <w:rPr>
          <w:b/>
          <w:bCs/>
          <w:u w:val="single"/>
        </w:rPr>
        <w:t>Personal Data</w:t>
      </w:r>
    </w:p>
    <w:p w14:paraId="3FA62DB8" w14:textId="2124042A" w:rsidR="00476B13" w:rsidRDefault="00476B13">
      <w:r>
        <w:t>People often store department data to cloud or other personal storage</w:t>
      </w:r>
      <w:r w:rsidR="00A92B9E">
        <w:t xml:space="preserve">. This is not recommended practice and should be avoided, as this can create </w:t>
      </w:r>
      <w:r>
        <w:t>problem</w:t>
      </w:r>
      <w:r w:rsidR="00A92B9E">
        <w:t xml:space="preserve">s; </w:t>
      </w:r>
      <w:proofErr w:type="gramStart"/>
      <w:r w:rsidR="00A92B9E">
        <w:t>e.g.</w:t>
      </w:r>
      <w:proofErr w:type="gramEnd"/>
      <w:r w:rsidR="00A92B9E">
        <w:t xml:space="preserve"> should colleagues need access to that data</w:t>
      </w:r>
      <w:r>
        <w:t xml:space="preserve"> when </w:t>
      </w:r>
      <w:r w:rsidR="00A92B9E">
        <w:t xml:space="preserve">you are absent due to sickness or holidays, or should that person </w:t>
      </w:r>
      <w:r>
        <w:t>move on to another job</w:t>
      </w:r>
      <w:r w:rsidR="00A92B9E">
        <w:t xml:space="preserve">, as </w:t>
      </w:r>
      <w:r>
        <w:t xml:space="preserve">valuable data </w:t>
      </w:r>
      <w:r w:rsidR="00A92B9E">
        <w:t xml:space="preserve">may end up going </w:t>
      </w:r>
      <w:r>
        <w:t xml:space="preserve">with them. The </w:t>
      </w:r>
      <w:r w:rsidR="003065AD">
        <w:t>group</w:t>
      </w:r>
      <w:r>
        <w:t xml:space="preserve"> should have a clear policy on what is personal data and where it should be stored.</w:t>
      </w:r>
    </w:p>
    <w:p w14:paraId="24AFCB21" w14:textId="2617617D" w:rsidR="00BC298F" w:rsidRDefault="00932AA0">
      <w:r>
        <w:t xml:space="preserve">We suggest </w:t>
      </w:r>
      <w:r w:rsidR="000E084B">
        <w:t xml:space="preserve">that </w:t>
      </w:r>
      <w:r w:rsidR="00476B13">
        <w:t xml:space="preserve">personal data be moved from </w:t>
      </w:r>
      <w:r w:rsidR="000E084B">
        <w:t>computers</w:t>
      </w:r>
      <w:r w:rsidR="00476B13">
        <w:t xml:space="preserve">, </w:t>
      </w:r>
      <w:r w:rsidR="000E084B">
        <w:t xml:space="preserve">USBs or </w:t>
      </w:r>
      <w:r>
        <w:t>external storage</w:t>
      </w:r>
      <w:r w:rsidR="00476B13">
        <w:t xml:space="preserve"> drives</w:t>
      </w:r>
      <w:r w:rsidR="00896075">
        <w:t xml:space="preserve"> </w:t>
      </w:r>
      <w:r w:rsidR="00476B13">
        <w:t xml:space="preserve">to one of the </w:t>
      </w:r>
      <w:r>
        <w:t xml:space="preserve">below solutions to have secure and backed up access to the data to </w:t>
      </w:r>
      <w:r w:rsidR="00BD4CAE">
        <w:t>mitigate against</w:t>
      </w:r>
      <w:r>
        <w:t xml:space="preserve"> the risk of data loss.</w:t>
      </w:r>
    </w:p>
    <w:tbl>
      <w:tblPr>
        <w:tblW w:w="4880" w:type="dxa"/>
        <w:tblLook w:val="04A0" w:firstRow="1" w:lastRow="0" w:firstColumn="1" w:lastColumn="0" w:noHBand="0" w:noVBand="1"/>
      </w:tblPr>
      <w:tblGrid>
        <w:gridCol w:w="2440"/>
        <w:gridCol w:w="2440"/>
      </w:tblGrid>
      <w:tr w:rsidR="00932AA0" w:rsidRPr="00932AA0" w14:paraId="5E37B7B4" w14:textId="77777777" w:rsidTr="00932AA0">
        <w:trPr>
          <w:trHeight w:val="315"/>
        </w:trPr>
        <w:tc>
          <w:tcPr>
            <w:tcW w:w="2440" w:type="dxa"/>
            <w:tcBorders>
              <w:top w:val="single" w:sz="8" w:space="0" w:color="auto"/>
              <w:left w:val="single" w:sz="8" w:space="0" w:color="auto"/>
              <w:bottom w:val="single" w:sz="4" w:space="0" w:color="8EA9DB"/>
              <w:right w:val="nil"/>
            </w:tcBorders>
            <w:shd w:val="clear" w:color="4472C4" w:fill="4472C4"/>
            <w:vAlign w:val="center"/>
            <w:hideMark/>
          </w:tcPr>
          <w:p w14:paraId="7FC4B598" w14:textId="77777777" w:rsidR="00932AA0" w:rsidRPr="000D38DC" w:rsidRDefault="00932AA0" w:rsidP="00932AA0">
            <w:pPr>
              <w:spacing w:after="0" w:line="240" w:lineRule="auto"/>
              <w:jc w:val="center"/>
              <w:rPr>
                <w:rFonts w:eastAsia="Times New Roman" w:cstheme="minorHAnsi"/>
                <w:b/>
                <w:bCs/>
                <w:color w:val="FFFFFF"/>
                <w:lang w:eastAsia="en-GB"/>
              </w:rPr>
            </w:pPr>
            <w:r w:rsidRPr="000D38DC">
              <w:rPr>
                <w:rFonts w:eastAsia="Times New Roman" w:cstheme="minorHAnsi"/>
                <w:b/>
                <w:bCs/>
                <w:color w:val="FFFFFF"/>
                <w:lang w:eastAsia="en-GB"/>
              </w:rPr>
              <w:t>Service</w:t>
            </w:r>
          </w:p>
        </w:tc>
        <w:tc>
          <w:tcPr>
            <w:tcW w:w="2440" w:type="dxa"/>
            <w:tcBorders>
              <w:top w:val="single" w:sz="8" w:space="0" w:color="auto"/>
              <w:left w:val="nil"/>
              <w:bottom w:val="single" w:sz="4" w:space="0" w:color="8EA9DB"/>
              <w:right w:val="single" w:sz="8" w:space="0" w:color="auto"/>
            </w:tcBorders>
            <w:shd w:val="clear" w:color="4472C4" w:fill="4472C4"/>
            <w:vAlign w:val="center"/>
            <w:hideMark/>
          </w:tcPr>
          <w:p w14:paraId="38779263" w14:textId="0C15514F" w:rsidR="00932AA0" w:rsidRPr="000D38DC" w:rsidRDefault="00932AA0" w:rsidP="00932AA0">
            <w:pPr>
              <w:spacing w:after="0" w:line="240" w:lineRule="auto"/>
              <w:jc w:val="center"/>
              <w:rPr>
                <w:rFonts w:eastAsia="Times New Roman" w:cstheme="minorHAnsi"/>
                <w:b/>
                <w:bCs/>
                <w:color w:val="FFFFFF"/>
                <w:lang w:eastAsia="en-GB"/>
              </w:rPr>
            </w:pPr>
            <w:r w:rsidRPr="000D38DC">
              <w:rPr>
                <w:rFonts w:eastAsia="Times New Roman" w:cstheme="minorHAnsi"/>
                <w:b/>
                <w:bCs/>
                <w:color w:val="FFFFFF"/>
                <w:lang w:eastAsia="en-GB"/>
              </w:rPr>
              <w:t>Storage Per User</w:t>
            </w:r>
          </w:p>
        </w:tc>
      </w:tr>
      <w:tr w:rsidR="00BD4CAE" w:rsidRPr="00932AA0" w14:paraId="5FFC8909" w14:textId="77777777" w:rsidTr="00BD4CAE">
        <w:trPr>
          <w:trHeight w:val="315"/>
        </w:trPr>
        <w:tc>
          <w:tcPr>
            <w:tcW w:w="2440" w:type="dxa"/>
            <w:tcBorders>
              <w:top w:val="single" w:sz="4" w:space="0" w:color="8EA9DB"/>
              <w:left w:val="single" w:sz="8" w:space="0" w:color="auto"/>
              <w:bottom w:val="single" w:sz="4" w:space="0" w:color="8EA9DB"/>
              <w:right w:val="nil"/>
            </w:tcBorders>
            <w:shd w:val="clear" w:color="auto" w:fill="auto"/>
            <w:vAlign w:val="center"/>
          </w:tcPr>
          <w:p w14:paraId="2EBD538C" w14:textId="50DB8E27" w:rsidR="00BD4CAE" w:rsidRPr="000D38DC" w:rsidRDefault="00BD4CAE" w:rsidP="00BD4CAE">
            <w:pPr>
              <w:spacing w:after="0" w:line="240" w:lineRule="auto"/>
              <w:rPr>
                <w:rFonts w:eastAsia="Times New Roman" w:cstheme="minorHAnsi"/>
                <w:color w:val="000000"/>
                <w:lang w:eastAsia="en-GB"/>
              </w:rPr>
            </w:pPr>
            <w:r w:rsidRPr="000D38DC">
              <w:rPr>
                <w:rFonts w:eastAsia="Times New Roman" w:cstheme="minorHAnsi"/>
                <w:color w:val="000000"/>
                <w:lang w:eastAsia="en-GB"/>
              </w:rPr>
              <w:t>CSCS Home Drive</w:t>
            </w:r>
          </w:p>
        </w:tc>
        <w:tc>
          <w:tcPr>
            <w:tcW w:w="2440" w:type="dxa"/>
            <w:tcBorders>
              <w:top w:val="single" w:sz="4" w:space="0" w:color="8EA9DB"/>
              <w:left w:val="nil"/>
              <w:bottom w:val="single" w:sz="4" w:space="0" w:color="8EA9DB"/>
              <w:right w:val="single" w:sz="8" w:space="0" w:color="auto"/>
            </w:tcBorders>
            <w:shd w:val="clear" w:color="auto" w:fill="auto"/>
            <w:vAlign w:val="center"/>
          </w:tcPr>
          <w:p w14:paraId="303AEF56" w14:textId="11E957D2" w:rsidR="00BD4CAE" w:rsidRPr="000D38DC" w:rsidRDefault="00BD4CAE" w:rsidP="00BD4CAE">
            <w:pPr>
              <w:spacing w:after="0" w:line="240" w:lineRule="auto"/>
              <w:rPr>
                <w:rFonts w:eastAsia="Times New Roman" w:cstheme="minorHAnsi"/>
                <w:color w:val="000000"/>
                <w:lang w:eastAsia="en-GB"/>
              </w:rPr>
            </w:pPr>
            <w:r w:rsidRPr="000D38DC">
              <w:rPr>
                <w:rFonts w:eastAsia="Times New Roman" w:cstheme="minorHAnsi"/>
                <w:color w:val="000000"/>
                <w:lang w:eastAsia="en-GB"/>
              </w:rPr>
              <w:t xml:space="preserve">50GB </w:t>
            </w:r>
          </w:p>
        </w:tc>
      </w:tr>
      <w:tr w:rsidR="00BD4CAE" w:rsidRPr="00932AA0" w14:paraId="0DF60107" w14:textId="77777777" w:rsidTr="00BD4CAE">
        <w:trPr>
          <w:trHeight w:val="315"/>
        </w:trPr>
        <w:tc>
          <w:tcPr>
            <w:tcW w:w="2440" w:type="dxa"/>
            <w:tcBorders>
              <w:top w:val="single" w:sz="4" w:space="0" w:color="8EA9DB"/>
              <w:left w:val="single" w:sz="8" w:space="0" w:color="auto"/>
              <w:bottom w:val="single" w:sz="4" w:space="0" w:color="8EA9DB"/>
              <w:right w:val="nil"/>
            </w:tcBorders>
            <w:shd w:val="clear" w:color="D9E1F2" w:fill="D9E1F2"/>
            <w:vAlign w:val="center"/>
          </w:tcPr>
          <w:p w14:paraId="76221374" w14:textId="26C950E7" w:rsidR="00BD4CAE" w:rsidRPr="000D38DC" w:rsidRDefault="008E5B49" w:rsidP="00BD4CAE">
            <w:pPr>
              <w:spacing w:after="0" w:line="240" w:lineRule="auto"/>
              <w:rPr>
                <w:rFonts w:eastAsia="Times New Roman" w:cstheme="minorHAnsi"/>
                <w:color w:val="000000"/>
                <w:lang w:eastAsia="en-GB"/>
              </w:rPr>
            </w:pPr>
            <w:r w:rsidRPr="000D38DC">
              <w:rPr>
                <w:rFonts w:eastAsia="Times New Roman" w:cstheme="minorHAnsi"/>
                <w:color w:val="000000"/>
                <w:lang w:eastAsia="en-GB"/>
              </w:rPr>
              <w:t xml:space="preserve">University </w:t>
            </w:r>
            <w:r w:rsidR="00BD4CAE" w:rsidRPr="000D38DC">
              <w:rPr>
                <w:rFonts w:eastAsia="Times New Roman" w:cstheme="minorHAnsi"/>
                <w:color w:val="000000"/>
                <w:lang w:eastAsia="en-GB"/>
              </w:rPr>
              <w:t>OneDrive</w:t>
            </w:r>
          </w:p>
        </w:tc>
        <w:tc>
          <w:tcPr>
            <w:tcW w:w="2440" w:type="dxa"/>
            <w:tcBorders>
              <w:top w:val="single" w:sz="4" w:space="0" w:color="8EA9DB"/>
              <w:left w:val="nil"/>
              <w:bottom w:val="single" w:sz="4" w:space="0" w:color="8EA9DB"/>
              <w:right w:val="single" w:sz="8" w:space="0" w:color="auto"/>
            </w:tcBorders>
            <w:shd w:val="clear" w:color="D9E1F2" w:fill="D9E1F2"/>
            <w:vAlign w:val="center"/>
          </w:tcPr>
          <w:p w14:paraId="14514CA5" w14:textId="491B4734" w:rsidR="00BD4CAE" w:rsidRPr="000D38DC" w:rsidRDefault="008E5B49" w:rsidP="00BD4CAE">
            <w:pPr>
              <w:spacing w:after="0" w:line="240" w:lineRule="auto"/>
              <w:rPr>
                <w:rFonts w:eastAsia="Times New Roman" w:cstheme="minorHAnsi"/>
                <w:color w:val="000000"/>
                <w:lang w:eastAsia="en-GB"/>
              </w:rPr>
            </w:pPr>
            <w:r w:rsidRPr="000D38DC">
              <w:rPr>
                <w:rFonts w:eastAsia="Times New Roman" w:cstheme="minorHAnsi"/>
                <w:color w:val="000000"/>
                <w:lang w:eastAsia="en-GB"/>
              </w:rPr>
              <w:t>5</w:t>
            </w:r>
            <w:r w:rsidR="00BD4CAE" w:rsidRPr="000D38DC">
              <w:rPr>
                <w:rFonts w:eastAsia="Times New Roman" w:cstheme="minorHAnsi"/>
                <w:color w:val="000000"/>
                <w:lang w:eastAsia="en-GB"/>
              </w:rPr>
              <w:t>TB</w:t>
            </w:r>
          </w:p>
        </w:tc>
      </w:tr>
      <w:tr w:rsidR="00BD4CAE" w:rsidRPr="00932AA0" w14:paraId="2924EBFB" w14:textId="77777777" w:rsidTr="00BD4CAE">
        <w:trPr>
          <w:trHeight w:val="315"/>
        </w:trPr>
        <w:tc>
          <w:tcPr>
            <w:tcW w:w="2440" w:type="dxa"/>
            <w:tcBorders>
              <w:top w:val="single" w:sz="4" w:space="0" w:color="8EA9DB"/>
              <w:left w:val="single" w:sz="8" w:space="0" w:color="auto"/>
              <w:bottom w:val="single" w:sz="8" w:space="0" w:color="auto"/>
              <w:right w:val="nil"/>
            </w:tcBorders>
            <w:shd w:val="clear" w:color="auto" w:fill="auto"/>
            <w:vAlign w:val="center"/>
          </w:tcPr>
          <w:p w14:paraId="31922E07" w14:textId="5F637587" w:rsidR="00BD4CAE" w:rsidRPr="000D38DC" w:rsidRDefault="00BD4CAE" w:rsidP="00BD4CAE">
            <w:pPr>
              <w:spacing w:after="0" w:line="240" w:lineRule="auto"/>
              <w:rPr>
                <w:rFonts w:eastAsia="Times New Roman" w:cstheme="minorHAnsi"/>
                <w:color w:val="000000"/>
                <w:lang w:eastAsia="en-GB"/>
              </w:rPr>
            </w:pPr>
            <w:proofErr w:type="spellStart"/>
            <w:r w:rsidRPr="000D38DC">
              <w:rPr>
                <w:rFonts w:eastAsia="Times New Roman" w:cstheme="minorHAnsi"/>
                <w:color w:val="000000"/>
                <w:lang w:eastAsia="en-GB"/>
              </w:rPr>
              <w:t>GDrive</w:t>
            </w:r>
            <w:proofErr w:type="spellEnd"/>
          </w:p>
        </w:tc>
        <w:tc>
          <w:tcPr>
            <w:tcW w:w="2440" w:type="dxa"/>
            <w:tcBorders>
              <w:top w:val="single" w:sz="4" w:space="0" w:color="8EA9DB"/>
              <w:left w:val="nil"/>
              <w:bottom w:val="single" w:sz="8" w:space="0" w:color="auto"/>
              <w:right w:val="single" w:sz="8" w:space="0" w:color="auto"/>
            </w:tcBorders>
            <w:shd w:val="clear" w:color="auto" w:fill="auto"/>
            <w:vAlign w:val="center"/>
          </w:tcPr>
          <w:p w14:paraId="4FFC9D21" w14:textId="4DD3274F" w:rsidR="00BD4CAE" w:rsidRPr="000D38DC" w:rsidRDefault="006B79DD" w:rsidP="00BD4CAE">
            <w:pPr>
              <w:spacing w:after="0" w:line="240" w:lineRule="auto"/>
              <w:rPr>
                <w:rFonts w:eastAsia="Times New Roman" w:cstheme="minorHAnsi"/>
                <w:color w:val="000000"/>
                <w:lang w:eastAsia="en-GB"/>
              </w:rPr>
            </w:pPr>
            <w:r>
              <w:rPr>
                <w:rFonts w:eastAsia="Times New Roman" w:cstheme="minorHAnsi"/>
                <w:color w:val="000000"/>
                <w:lang w:eastAsia="en-GB"/>
              </w:rPr>
              <w:t>5TB</w:t>
            </w:r>
            <w:r w:rsidRPr="000D38DC">
              <w:rPr>
                <w:rFonts w:eastAsia="Times New Roman" w:cstheme="minorHAnsi"/>
                <w:color w:val="000000"/>
                <w:lang w:eastAsia="en-GB"/>
              </w:rPr>
              <w:t xml:space="preserve"> </w:t>
            </w:r>
          </w:p>
        </w:tc>
      </w:tr>
    </w:tbl>
    <w:p w14:paraId="278E0D8A" w14:textId="6183EB89" w:rsidR="00932AA0" w:rsidRDefault="00932AA0"/>
    <w:p w14:paraId="796DB1EE" w14:textId="50211A11" w:rsidR="004E493D" w:rsidRDefault="00D41FD1">
      <w:pPr>
        <w:rPr>
          <w:rStyle w:val="Hyperlink"/>
        </w:rPr>
      </w:pPr>
      <w:hyperlink r:id="rId12" w:history="1">
        <w:r w:rsidR="00932AA0" w:rsidRPr="005640FC">
          <w:rPr>
            <w:rStyle w:val="Hyperlink"/>
          </w:rPr>
          <w:t xml:space="preserve">OneDrive </w:t>
        </w:r>
        <w:r w:rsidR="005640FC" w:rsidRPr="005640FC">
          <w:rPr>
            <w:rStyle w:val="Hyperlink"/>
          </w:rPr>
          <w:t>storage</w:t>
        </w:r>
      </w:hyperlink>
      <w:r w:rsidR="005640FC">
        <w:t xml:space="preserve"> </w:t>
      </w:r>
      <w:r w:rsidR="00932AA0">
        <w:t>is provided by the University to all Staff and Students, as i</w:t>
      </w:r>
      <w:r w:rsidR="005234F1">
        <w:t>s</w:t>
      </w:r>
      <w:r w:rsidR="00932AA0">
        <w:t xml:space="preserve"> </w:t>
      </w:r>
      <w:hyperlink r:id="rId13" w:history="1">
        <w:proofErr w:type="spellStart"/>
        <w:r w:rsidR="00932AA0" w:rsidRPr="006B79DD">
          <w:rPr>
            <w:rStyle w:val="Hyperlink"/>
          </w:rPr>
          <w:t>GDrive</w:t>
        </w:r>
        <w:proofErr w:type="spellEnd"/>
        <w:r w:rsidR="00932AA0" w:rsidRPr="006B79DD">
          <w:rPr>
            <w:rStyle w:val="Hyperlink"/>
          </w:rPr>
          <w:t xml:space="preserve"> storage</w:t>
        </w:r>
      </w:hyperlink>
      <w:r w:rsidR="00932AA0">
        <w:t>.</w:t>
      </w:r>
      <w:r w:rsidR="0063326B">
        <w:t xml:space="preserve"> CSCS have produced a guide on how to migrate files to OneDrive which can be found </w:t>
      </w:r>
      <w:hyperlink r:id="rId14" w:history="1">
        <w:r w:rsidR="0063326B" w:rsidRPr="0063326B">
          <w:rPr>
            <w:rStyle w:val="Hyperlink"/>
          </w:rPr>
          <w:t>here</w:t>
        </w:r>
      </w:hyperlink>
      <w:r w:rsidR="0063326B">
        <w:t>.</w:t>
      </w:r>
      <w:r w:rsidR="00932AA0">
        <w:t xml:space="preserve"> The CSCS Home Drive is provided as part of the £5.37 p/m user account charge; </w:t>
      </w:r>
      <w:r w:rsidR="00217911">
        <w:t xml:space="preserve">which will be provided to you as a minimum standard for new CSCS users, </w:t>
      </w:r>
      <w:r w:rsidR="00932AA0">
        <w:t>this also includ</w:t>
      </w:r>
      <w:r w:rsidR="005234F1">
        <w:t>es</w:t>
      </w:r>
      <w:r w:rsidR="00932AA0">
        <w:t xml:space="preserve"> services such as email and help desk access, full details </w:t>
      </w:r>
      <w:hyperlink r:id="rId15" w:history="1">
        <w:r w:rsidR="00932AA0" w:rsidRPr="00932AA0">
          <w:rPr>
            <w:rStyle w:val="Hyperlink"/>
          </w:rPr>
          <w:t>here.</w:t>
        </w:r>
      </w:hyperlink>
    </w:p>
    <w:p w14:paraId="1FF2C0F7" w14:textId="44F1AF92" w:rsidR="00BC298F" w:rsidRPr="008D7F70" w:rsidRDefault="00BC298F">
      <w:r w:rsidRPr="00776B26">
        <w:rPr>
          <w:b/>
          <w:bCs/>
          <w:u w:val="single"/>
        </w:rPr>
        <w:t>Live Data</w:t>
      </w:r>
    </w:p>
    <w:p w14:paraId="5C76DF9B" w14:textId="71991B40" w:rsidR="00476B13" w:rsidRDefault="00476B13" w:rsidP="00476B13">
      <w:r>
        <w:t xml:space="preserve">Live Data </w:t>
      </w:r>
      <w:r w:rsidR="00C34009">
        <w:t xml:space="preserve">is </w:t>
      </w:r>
      <w:r>
        <w:t>be best defined as data being collected for on-going projects</w:t>
      </w:r>
      <w:r w:rsidR="00C34009">
        <w:t>/research</w:t>
      </w:r>
      <w:r>
        <w:t xml:space="preserve"> which may need to be accessed by multiple members of a team, whilst needing to be securely stored and backed up. </w:t>
      </w:r>
    </w:p>
    <w:p w14:paraId="6FBD4DB9" w14:textId="19B76BED" w:rsidR="00AF6C18" w:rsidRDefault="003065AD">
      <w:r>
        <w:t>This group</w:t>
      </w:r>
      <w:r w:rsidR="00E264AC">
        <w:t xml:space="preserve"> data </w:t>
      </w:r>
      <w:r w:rsidR="005234F1">
        <w:t xml:space="preserve">should be stored centrally so that it is protected against loss, multiple people can access it and it survives any staffing changes. </w:t>
      </w:r>
      <w:r w:rsidR="0041098B">
        <w:t xml:space="preserve">Any data that you classify as live data will be migrated </w:t>
      </w:r>
      <w:r w:rsidR="00C34009">
        <w:t xml:space="preserve">by </w:t>
      </w:r>
      <w:r>
        <w:t xml:space="preserve">CSCS and stored using the </w:t>
      </w:r>
      <w:r w:rsidR="0041098B">
        <w:t>U</w:t>
      </w:r>
      <w:r>
        <w:t xml:space="preserve">niversity Information Services (UIS) </w:t>
      </w:r>
      <w:r w:rsidR="0041098B">
        <w:t xml:space="preserve">Institutional File Store </w:t>
      </w:r>
      <w:r>
        <w:t>(IFS) S</w:t>
      </w:r>
      <w:r w:rsidR="0041098B">
        <w:t>ervice.</w:t>
      </w:r>
    </w:p>
    <w:p w14:paraId="67A23137" w14:textId="459881BA" w:rsidR="00114A10" w:rsidRDefault="00D41FD1">
      <w:r>
        <w:t>Hutchinson</w:t>
      </w:r>
      <w:r w:rsidR="00A92B9E">
        <w:t xml:space="preserve"> groups moving to the Clinical School</w:t>
      </w:r>
      <w:r w:rsidR="008E5B49">
        <w:t xml:space="preserve"> will be provided with a</w:t>
      </w:r>
      <w:r w:rsidR="0041098B">
        <w:t xml:space="preserve">n </w:t>
      </w:r>
      <w:r w:rsidR="008E5B49">
        <w:t>allocation of IFS storage by CSCS which can be used for data storage</w:t>
      </w:r>
      <w:r w:rsidR="00A92B9E">
        <w:t xml:space="preserve"> to support the migration project</w:t>
      </w:r>
      <w:r w:rsidR="0041098B">
        <w:t>.</w:t>
      </w:r>
      <w:r w:rsidR="008E5B49">
        <w:t xml:space="preserve"> </w:t>
      </w:r>
      <w:r w:rsidR="003065AD">
        <w:t>However,</w:t>
      </w:r>
      <w:r w:rsidR="008E5B49">
        <w:t xml:space="preserve"> </w:t>
      </w:r>
      <w:r w:rsidR="00A92B9E">
        <w:t xml:space="preserve">once the project </w:t>
      </w:r>
      <w:r w:rsidR="0041098B">
        <w:t xml:space="preserve">has been </w:t>
      </w:r>
      <w:r w:rsidR="00A92B9E">
        <w:t xml:space="preserve">completed and you fully migrate to using CSCS </w:t>
      </w:r>
      <w:r w:rsidR="003065AD">
        <w:t>S</w:t>
      </w:r>
      <w:r w:rsidR="00A92B9E">
        <w:t>ervices</w:t>
      </w:r>
      <w:r w:rsidR="0041098B">
        <w:t>,</w:t>
      </w:r>
      <w:r w:rsidR="00A92B9E">
        <w:t xml:space="preserve"> appropriate </w:t>
      </w:r>
      <w:r w:rsidR="0041098B">
        <w:t xml:space="preserve">monthly </w:t>
      </w:r>
      <w:r w:rsidR="008E5B49">
        <w:t xml:space="preserve">charging would </w:t>
      </w:r>
      <w:r w:rsidR="0041098B">
        <w:t xml:space="preserve">then </w:t>
      </w:r>
      <w:r w:rsidR="008E5B49">
        <w:t>apply.</w:t>
      </w:r>
      <w:r w:rsidR="0041098B">
        <w:t xml:space="preserve"> </w:t>
      </w:r>
    </w:p>
    <w:p w14:paraId="2C8F20CA" w14:textId="11592CCA" w:rsidR="00AF6C18" w:rsidRPr="003065AD" w:rsidRDefault="003065AD" w:rsidP="003065AD">
      <w:r>
        <w:t>Some e</w:t>
      </w:r>
      <w:r w:rsidR="00AF6C18" w:rsidRPr="003065AD">
        <w:t>xamples of live data</w:t>
      </w:r>
      <w:r w:rsidR="00E25302">
        <w:t>:</w:t>
      </w:r>
    </w:p>
    <w:p w14:paraId="09E9C080" w14:textId="77777777" w:rsidR="00AF6C18" w:rsidRPr="00AF6C18" w:rsidRDefault="00AF6C18" w:rsidP="00AF6C18">
      <w:pPr>
        <w:pStyle w:val="ListParagraph"/>
        <w:numPr>
          <w:ilvl w:val="0"/>
          <w:numId w:val="11"/>
        </w:numPr>
      </w:pPr>
      <w:r w:rsidRPr="00AF6C18">
        <w:t>Image files</w:t>
      </w:r>
    </w:p>
    <w:p w14:paraId="678A9D2E" w14:textId="77777777" w:rsidR="00AF6C18" w:rsidRPr="00AF6C18" w:rsidRDefault="00AF6C18" w:rsidP="00AF6C18">
      <w:pPr>
        <w:pStyle w:val="ListParagraph"/>
        <w:numPr>
          <w:ilvl w:val="0"/>
          <w:numId w:val="11"/>
        </w:numPr>
      </w:pPr>
      <w:r w:rsidRPr="00AF6C18">
        <w:t>Word, Excel, PDF etc, office files</w:t>
      </w:r>
    </w:p>
    <w:p w14:paraId="4BBCCDC5" w14:textId="77777777" w:rsidR="00AF6C18" w:rsidRPr="00AF6C18" w:rsidRDefault="00AF6C18" w:rsidP="00AF6C18">
      <w:pPr>
        <w:pStyle w:val="ListParagraph"/>
        <w:numPr>
          <w:ilvl w:val="0"/>
          <w:numId w:val="11"/>
        </w:numPr>
      </w:pPr>
      <w:r w:rsidRPr="00AF6C18">
        <w:t>Data that just gets processed on a laptop or desktop</w:t>
      </w:r>
    </w:p>
    <w:p w14:paraId="252ED32A" w14:textId="77777777" w:rsidR="00AF6C18" w:rsidRPr="00AF6C18" w:rsidRDefault="00AF6C18" w:rsidP="00AF6C18">
      <w:pPr>
        <w:pStyle w:val="ListParagraph"/>
        <w:numPr>
          <w:ilvl w:val="0"/>
          <w:numId w:val="11"/>
        </w:numPr>
      </w:pPr>
      <w:r w:rsidRPr="00AF6C18">
        <w:t>This should reside on IFS</w:t>
      </w:r>
    </w:p>
    <w:p w14:paraId="62B7D7DA" w14:textId="6A4B931B" w:rsidR="00AF6C18" w:rsidRDefault="00AF6C18" w:rsidP="00AF6C18">
      <w:pPr>
        <w:pStyle w:val="ListParagraph"/>
        <w:numPr>
          <w:ilvl w:val="0"/>
          <w:numId w:val="11"/>
        </w:numPr>
      </w:pPr>
      <w:r w:rsidRPr="00AF6C18">
        <w:t>Data files generated by instruments such as microscopes, particle sizers, flow cytometry etc</w:t>
      </w:r>
    </w:p>
    <w:p w14:paraId="32C65B7B" w14:textId="6DC861FE" w:rsidR="00AF6C18" w:rsidRDefault="003065AD" w:rsidP="00AF6C18">
      <w:r>
        <w:t>Please note that the m</w:t>
      </w:r>
      <w:r w:rsidR="00AF6C18" w:rsidRPr="00AF6C18">
        <w:t xml:space="preserve">aximum volume size for </w:t>
      </w:r>
      <w:r w:rsidR="006B79DD">
        <w:t xml:space="preserve">any large data set moving to </w:t>
      </w:r>
      <w:r w:rsidR="00AF6C18" w:rsidRPr="00AF6C18">
        <w:t xml:space="preserve">IFS storage </w:t>
      </w:r>
      <w:r w:rsidR="006B79DD">
        <w:t>should be 65TB</w:t>
      </w:r>
      <w:r w:rsidR="00AF6C18" w:rsidRPr="00AF6C18">
        <w:t>, but i</w:t>
      </w:r>
      <w:r w:rsidR="00AF6C18">
        <w:t>n</w:t>
      </w:r>
      <w:r w:rsidR="00AF6C18" w:rsidRPr="00AF6C18">
        <w:t xml:space="preserve"> </w:t>
      </w:r>
      <w:r w:rsidRPr="00AF6C18">
        <w:t>reality,</w:t>
      </w:r>
      <w:r w:rsidR="00AF6C18" w:rsidRPr="00AF6C18">
        <w:t xml:space="preserve"> we </w:t>
      </w:r>
      <w:r w:rsidR="00AF6C18">
        <w:t xml:space="preserve">will </w:t>
      </w:r>
      <w:r w:rsidR="00AF6C18" w:rsidRPr="00AF6C18">
        <w:t xml:space="preserve">need </w:t>
      </w:r>
      <w:r w:rsidR="00AF6C18">
        <w:t xml:space="preserve">your </w:t>
      </w:r>
      <w:r w:rsidR="00AF6C18" w:rsidRPr="00AF6C18">
        <w:t>volumes to be smaller than this to allow capacity for future expansion. </w:t>
      </w:r>
    </w:p>
    <w:p w14:paraId="76B07F74" w14:textId="54BD7D2E" w:rsidR="00E25302" w:rsidRDefault="00E25302" w:rsidP="00AF6C18">
      <w:r>
        <w:t xml:space="preserve">Before transfer, </w:t>
      </w:r>
      <w:r w:rsidRPr="00E25302">
        <w:rPr>
          <w:b/>
          <w:bCs/>
        </w:rPr>
        <w:t>folders or directories containing large numbers of small files should be stored in a .tar archive</w:t>
      </w:r>
      <w:r>
        <w:t xml:space="preserve">. Datasets containing large number of small files have been found to slow down data transfer speeds and increase the risk of transfer failure. </w:t>
      </w:r>
    </w:p>
    <w:p w14:paraId="1E2E937A" w14:textId="750304C7" w:rsidR="006B79DD" w:rsidRDefault="006B79DD" w:rsidP="00AF6C18">
      <w:r>
        <w:t xml:space="preserve">Long file names or directory paths also have the potential to affect data transfers and therefore we recommend </w:t>
      </w:r>
      <w:r w:rsidR="0095525C">
        <w:t>that you l</w:t>
      </w:r>
      <w:r w:rsidRPr="00DB1530">
        <w:t xml:space="preserve">imit the character length </w:t>
      </w:r>
      <w:r w:rsidR="0095525C">
        <w:t xml:space="preserve">for files </w:t>
      </w:r>
      <w:r w:rsidRPr="00DB1530">
        <w:t>to no more than 25-35 characters</w:t>
      </w:r>
      <w:r w:rsidR="0095525C">
        <w:t>.</w:t>
      </w:r>
    </w:p>
    <w:p w14:paraId="0FDB3976" w14:textId="7D994B24" w:rsidR="0095525C" w:rsidRPr="0095525C" w:rsidRDefault="0095525C" w:rsidP="00AF6C18">
      <w:r>
        <w:t xml:space="preserve">A good overview of best practices for managing research data can be </w:t>
      </w:r>
      <w:hyperlink r:id="rId16" w:history="1">
        <w:r w:rsidRPr="0095525C">
          <w:rPr>
            <w:rStyle w:val="Hyperlink"/>
          </w:rPr>
          <w:t>found here</w:t>
        </w:r>
      </w:hyperlink>
      <w:r>
        <w:t xml:space="preserve">. </w:t>
      </w:r>
    </w:p>
    <w:p w14:paraId="2EBFCBDD" w14:textId="719ECB6A" w:rsidR="00453B08" w:rsidRDefault="00453B08" w:rsidP="00453B08">
      <w:r w:rsidRPr="00453B08">
        <w:t>Once Group Drive data on </w:t>
      </w:r>
      <w:hyperlink r:id="rId17" w:history="1">
        <w:r w:rsidRPr="00453B08">
          <w:t>\\minerva\centre</w:t>
        </w:r>
      </w:hyperlink>
      <w:r w:rsidRPr="00453B08">
        <w:t> has been migrated to CSCS infrastructure, ANY custom permissions on folders with disabled Inheritance (aka different permissions from the top-level security group of the share) will be lost during data migration.</w:t>
      </w:r>
      <w:r w:rsidR="00A02EA1">
        <w:t xml:space="preserve"> </w:t>
      </w:r>
      <w:r w:rsidR="00A02EA1" w:rsidRPr="005640FC">
        <w:rPr>
          <w:b/>
          <w:bCs/>
        </w:rPr>
        <w:t>Please can you therefore ensure that any personal data or level 2/3 data that needs to be protected is identified/labelled appropriately</w:t>
      </w:r>
      <w:r w:rsidR="00A02EA1">
        <w:t xml:space="preserve">. It will be your responsibility to highlight this to CSCS and to agree the best method of transfer. </w:t>
      </w:r>
    </w:p>
    <w:p w14:paraId="0E2734DB" w14:textId="77777777" w:rsidR="003065AD" w:rsidRDefault="003065AD">
      <w:pPr>
        <w:rPr>
          <w:b/>
          <w:bCs/>
          <w:u w:val="single"/>
        </w:rPr>
      </w:pPr>
    </w:p>
    <w:p w14:paraId="359B9AB9" w14:textId="7D4D30CA" w:rsidR="00BC298F" w:rsidRPr="00776B26" w:rsidRDefault="00196994">
      <w:pPr>
        <w:rPr>
          <w:b/>
          <w:bCs/>
          <w:u w:val="single"/>
        </w:rPr>
      </w:pPr>
      <w:r>
        <w:rPr>
          <w:b/>
          <w:bCs/>
          <w:u w:val="single"/>
        </w:rPr>
        <w:br/>
      </w:r>
      <w:r>
        <w:rPr>
          <w:b/>
          <w:bCs/>
          <w:u w:val="single"/>
        </w:rPr>
        <w:br/>
      </w:r>
      <w:r>
        <w:rPr>
          <w:b/>
          <w:bCs/>
          <w:u w:val="single"/>
        </w:rPr>
        <w:lastRenderedPageBreak/>
        <w:br/>
      </w:r>
      <w:r w:rsidR="00BC298F" w:rsidRPr="00776B26">
        <w:rPr>
          <w:b/>
          <w:bCs/>
          <w:u w:val="single"/>
        </w:rPr>
        <w:t>Cold Data</w:t>
      </w:r>
    </w:p>
    <w:p w14:paraId="22B831AB" w14:textId="450C3521" w:rsidR="00BC298F" w:rsidRDefault="00DD1977">
      <w:r>
        <w:t xml:space="preserve">Older, inactive or unstructured data </w:t>
      </w:r>
      <w:r w:rsidR="0041098B">
        <w:t>should</w:t>
      </w:r>
      <w:r>
        <w:t xml:space="preserve"> be stored in </w:t>
      </w:r>
      <w:r w:rsidR="0041098B">
        <w:t xml:space="preserve">a </w:t>
      </w:r>
      <w:r w:rsidR="006F64BB">
        <w:t xml:space="preserve">less expensive </w:t>
      </w:r>
      <w:r w:rsidR="0041098B">
        <w:t>service</w:t>
      </w:r>
      <w:r w:rsidR="003065AD">
        <w:t xml:space="preserve">: </w:t>
      </w:r>
      <w:r>
        <w:t xml:space="preserve">cold storage. </w:t>
      </w:r>
      <w:r w:rsidR="006F64BB">
        <w:t>Old</w:t>
      </w:r>
      <w:r w:rsidR="0041098B">
        <w:t>er</w:t>
      </w:r>
      <w:r w:rsidR="006F64BB">
        <w:t xml:space="preserve"> data typically </w:t>
      </w:r>
      <w:r w:rsidR="00BC298F">
        <w:t>does not need to be used or accessed on a regular basis</w:t>
      </w:r>
      <w:r w:rsidR="003065AD">
        <w:t xml:space="preserve">, but you will </w:t>
      </w:r>
      <w:r w:rsidR="006F64BB">
        <w:t xml:space="preserve">need to retain </w:t>
      </w:r>
      <w:r w:rsidR="00BC298F">
        <w:t>a secure copy</w:t>
      </w:r>
      <w:r w:rsidR="006F64BB">
        <w:t xml:space="preserve"> of it</w:t>
      </w:r>
      <w:r w:rsidR="00BC298F">
        <w:t>.</w:t>
      </w:r>
      <w:r w:rsidR="0041098B">
        <w:t xml:space="preserve"> Typically for ethics purposes or a</w:t>
      </w:r>
      <w:r w:rsidR="00D16707">
        <w:t>s a</w:t>
      </w:r>
      <w:r w:rsidR="0041098B">
        <w:t xml:space="preserve"> requirement of your grant funding. </w:t>
      </w:r>
    </w:p>
    <w:p w14:paraId="138CFF72" w14:textId="3FB3AD02" w:rsidR="00AF6C18" w:rsidRPr="003065AD" w:rsidRDefault="00D16707" w:rsidP="003065AD">
      <w:r>
        <w:t>This data will be stored using</w:t>
      </w:r>
      <w:r w:rsidR="00BC298F">
        <w:t xml:space="preserve"> UIS’s </w:t>
      </w:r>
      <w:hyperlink r:id="rId18" w:history="1">
        <w:r w:rsidR="00BC298F" w:rsidRPr="00DF4420">
          <w:rPr>
            <w:rStyle w:val="Hyperlink"/>
          </w:rPr>
          <w:t>Research Cold Store</w:t>
        </w:r>
      </w:hyperlink>
      <w:r w:rsidR="00BC298F">
        <w:t xml:space="preserve"> </w:t>
      </w:r>
      <w:r w:rsidR="00AF6C18">
        <w:t xml:space="preserve">(RCS) </w:t>
      </w:r>
      <w:r w:rsidR="00BC298F">
        <w:t xml:space="preserve">as it is a cost-effective way of storing large amounts of data </w:t>
      </w:r>
      <w:r w:rsidR="006F64BB">
        <w:t>at</w:t>
      </w:r>
      <w:r w:rsidR="00BC298F">
        <w:t xml:space="preserve"> a competitive price, with enterprise level protection and backup for the storage.</w:t>
      </w:r>
      <w:r w:rsidR="003065AD">
        <w:t xml:space="preserve"> </w:t>
      </w:r>
      <w:r w:rsidR="00AF6C18" w:rsidRPr="003065AD">
        <w:t>RCS is also suitable for data sets that have been received but are not being processed in the immediate future</w:t>
      </w:r>
      <w:r w:rsidR="003065AD">
        <w:t>.</w:t>
      </w:r>
    </w:p>
    <w:p w14:paraId="7A7333EA" w14:textId="73EE968B" w:rsidR="00BC298F" w:rsidRDefault="00BF2027">
      <w:r>
        <w:t>Cold storage d</w:t>
      </w:r>
      <w:r w:rsidR="00BC298F">
        <w:t xml:space="preserve">ata </w:t>
      </w:r>
      <w:r w:rsidR="006F64BB">
        <w:t xml:space="preserve">is procured based on </w:t>
      </w:r>
      <w:r w:rsidR="00BC298F">
        <w:t xml:space="preserve">a </w:t>
      </w:r>
      <w:proofErr w:type="gramStart"/>
      <w:r w:rsidR="00BC298F">
        <w:t>1-5 year</w:t>
      </w:r>
      <w:proofErr w:type="gramEnd"/>
      <w:r w:rsidR="00BC298F">
        <w:t xml:space="preserve"> contract, with a minimum of 5TB of data to be stored, costs below</w:t>
      </w:r>
      <w:r w:rsidR="00776B26">
        <w:rPr>
          <w:rStyle w:val="FootnoteReference"/>
        </w:rPr>
        <w:footnoteReference w:id="1"/>
      </w:r>
      <w:r w:rsidR="00BC298F">
        <w:t>:</w:t>
      </w:r>
    </w:p>
    <w:tbl>
      <w:tblPr>
        <w:tblW w:w="9627" w:type="dxa"/>
        <w:tblInd w:w="-10" w:type="dxa"/>
        <w:tblLook w:val="04A0" w:firstRow="1" w:lastRow="0" w:firstColumn="1" w:lastColumn="0" w:noHBand="0" w:noVBand="1"/>
      </w:tblPr>
      <w:tblGrid>
        <w:gridCol w:w="1163"/>
        <w:gridCol w:w="1774"/>
        <w:gridCol w:w="2230"/>
        <w:gridCol w:w="2230"/>
        <w:gridCol w:w="2230"/>
      </w:tblGrid>
      <w:tr w:rsidR="009971CB" w:rsidRPr="009971CB" w14:paraId="0356CFF9" w14:textId="77777777" w:rsidTr="009971CB">
        <w:trPr>
          <w:trHeight w:val="310"/>
        </w:trPr>
        <w:tc>
          <w:tcPr>
            <w:tcW w:w="1163" w:type="dxa"/>
            <w:tcBorders>
              <w:top w:val="single" w:sz="8" w:space="0" w:color="auto"/>
              <w:left w:val="single" w:sz="8" w:space="0" w:color="auto"/>
              <w:bottom w:val="nil"/>
              <w:right w:val="nil"/>
            </w:tcBorders>
            <w:shd w:val="clear" w:color="000000" w:fill="4472C4"/>
            <w:vAlign w:val="center"/>
            <w:hideMark/>
          </w:tcPr>
          <w:p w14:paraId="6E3138CB" w14:textId="77777777" w:rsidR="009971CB" w:rsidRPr="00D16707" w:rsidRDefault="009971CB" w:rsidP="009971CB">
            <w:pPr>
              <w:spacing w:after="0" w:line="240" w:lineRule="auto"/>
              <w:jc w:val="center"/>
              <w:rPr>
                <w:rFonts w:eastAsia="Times New Roman" w:cstheme="minorHAnsi"/>
                <w:b/>
                <w:bCs/>
                <w:color w:val="FFFFFF"/>
                <w:lang w:eastAsia="en-GB"/>
              </w:rPr>
            </w:pPr>
            <w:r w:rsidRPr="00D16707">
              <w:rPr>
                <w:rFonts w:eastAsia="Times New Roman" w:cstheme="minorHAnsi"/>
                <w:b/>
                <w:bCs/>
                <w:color w:val="FFFFFF"/>
                <w:lang w:eastAsia="en-GB"/>
              </w:rPr>
              <w:t>Service</w:t>
            </w:r>
          </w:p>
        </w:tc>
        <w:tc>
          <w:tcPr>
            <w:tcW w:w="1774" w:type="dxa"/>
            <w:tcBorders>
              <w:top w:val="single" w:sz="8" w:space="0" w:color="auto"/>
              <w:left w:val="nil"/>
              <w:bottom w:val="nil"/>
              <w:right w:val="nil"/>
            </w:tcBorders>
            <w:shd w:val="clear" w:color="000000" w:fill="4472C4"/>
            <w:vAlign w:val="center"/>
            <w:hideMark/>
          </w:tcPr>
          <w:p w14:paraId="715CBC3A" w14:textId="77777777" w:rsidR="009971CB" w:rsidRPr="00D16707" w:rsidRDefault="009971CB" w:rsidP="009971CB">
            <w:pPr>
              <w:spacing w:after="0" w:line="240" w:lineRule="auto"/>
              <w:jc w:val="center"/>
              <w:rPr>
                <w:rFonts w:eastAsia="Times New Roman" w:cstheme="minorHAnsi"/>
                <w:b/>
                <w:bCs/>
                <w:color w:val="FFFFFF"/>
                <w:lang w:eastAsia="en-GB"/>
              </w:rPr>
            </w:pPr>
            <w:r w:rsidRPr="00D16707">
              <w:rPr>
                <w:rFonts w:eastAsia="Times New Roman" w:cstheme="minorHAnsi"/>
                <w:b/>
                <w:bCs/>
                <w:color w:val="FFFFFF"/>
                <w:lang w:eastAsia="en-GB"/>
              </w:rPr>
              <w:t>Price (£ per TB)</w:t>
            </w:r>
          </w:p>
        </w:tc>
        <w:tc>
          <w:tcPr>
            <w:tcW w:w="2230" w:type="dxa"/>
            <w:tcBorders>
              <w:top w:val="single" w:sz="8" w:space="0" w:color="auto"/>
              <w:left w:val="nil"/>
              <w:bottom w:val="nil"/>
              <w:right w:val="nil"/>
            </w:tcBorders>
            <w:shd w:val="clear" w:color="000000" w:fill="4472C4"/>
            <w:vAlign w:val="center"/>
            <w:hideMark/>
          </w:tcPr>
          <w:p w14:paraId="0DAE0046" w14:textId="77777777" w:rsidR="009971CB" w:rsidRPr="00D16707" w:rsidRDefault="009971CB" w:rsidP="009971CB">
            <w:pPr>
              <w:spacing w:after="0" w:line="240" w:lineRule="auto"/>
              <w:jc w:val="center"/>
              <w:rPr>
                <w:rFonts w:eastAsia="Times New Roman" w:cstheme="minorHAnsi"/>
                <w:b/>
                <w:bCs/>
                <w:color w:val="FFFFFF"/>
                <w:lang w:eastAsia="en-GB"/>
              </w:rPr>
            </w:pPr>
            <w:r w:rsidRPr="00D16707">
              <w:rPr>
                <w:rFonts w:eastAsia="Times New Roman" w:cstheme="minorHAnsi"/>
                <w:b/>
                <w:bCs/>
                <w:color w:val="FFFFFF"/>
                <w:lang w:eastAsia="en-GB"/>
              </w:rPr>
              <w:t> </w:t>
            </w:r>
          </w:p>
        </w:tc>
        <w:tc>
          <w:tcPr>
            <w:tcW w:w="2230" w:type="dxa"/>
            <w:tcBorders>
              <w:top w:val="single" w:sz="8" w:space="0" w:color="auto"/>
              <w:left w:val="nil"/>
              <w:bottom w:val="nil"/>
              <w:right w:val="nil"/>
            </w:tcBorders>
            <w:shd w:val="clear" w:color="000000" w:fill="4472C4"/>
            <w:vAlign w:val="center"/>
            <w:hideMark/>
          </w:tcPr>
          <w:p w14:paraId="674D3300" w14:textId="77777777" w:rsidR="009971CB" w:rsidRPr="00D16707" w:rsidRDefault="009971CB" w:rsidP="009971CB">
            <w:pPr>
              <w:spacing w:after="0" w:line="240" w:lineRule="auto"/>
              <w:jc w:val="center"/>
              <w:rPr>
                <w:rFonts w:eastAsia="Times New Roman" w:cstheme="minorHAnsi"/>
                <w:b/>
                <w:bCs/>
                <w:color w:val="FFFFFF"/>
                <w:lang w:eastAsia="en-GB"/>
              </w:rPr>
            </w:pPr>
            <w:r w:rsidRPr="00D16707">
              <w:rPr>
                <w:rFonts w:eastAsia="Times New Roman" w:cstheme="minorHAnsi"/>
                <w:b/>
                <w:bCs/>
                <w:color w:val="FFFFFF"/>
                <w:lang w:eastAsia="en-GB"/>
              </w:rPr>
              <w:t> </w:t>
            </w:r>
          </w:p>
        </w:tc>
        <w:tc>
          <w:tcPr>
            <w:tcW w:w="2230" w:type="dxa"/>
            <w:tcBorders>
              <w:top w:val="single" w:sz="8" w:space="0" w:color="auto"/>
              <w:left w:val="nil"/>
              <w:bottom w:val="nil"/>
              <w:right w:val="single" w:sz="8" w:space="0" w:color="auto"/>
            </w:tcBorders>
            <w:shd w:val="clear" w:color="000000" w:fill="4472C4"/>
            <w:vAlign w:val="center"/>
            <w:hideMark/>
          </w:tcPr>
          <w:p w14:paraId="17AA8256" w14:textId="77777777" w:rsidR="009971CB" w:rsidRPr="00D16707" w:rsidRDefault="009971CB" w:rsidP="009971CB">
            <w:pPr>
              <w:spacing w:after="0" w:line="240" w:lineRule="auto"/>
              <w:jc w:val="center"/>
              <w:rPr>
                <w:rFonts w:eastAsia="Times New Roman" w:cstheme="minorHAnsi"/>
                <w:b/>
                <w:bCs/>
                <w:color w:val="FFFFFF"/>
                <w:lang w:eastAsia="en-GB"/>
              </w:rPr>
            </w:pPr>
            <w:r w:rsidRPr="00D16707">
              <w:rPr>
                <w:rFonts w:eastAsia="Times New Roman" w:cstheme="minorHAnsi"/>
                <w:b/>
                <w:bCs/>
                <w:color w:val="FFFFFF"/>
                <w:lang w:eastAsia="en-GB"/>
              </w:rPr>
              <w:t> </w:t>
            </w:r>
          </w:p>
        </w:tc>
      </w:tr>
      <w:tr w:rsidR="009971CB" w:rsidRPr="009971CB" w14:paraId="49AB68AB" w14:textId="77777777" w:rsidTr="009971CB">
        <w:trPr>
          <w:trHeight w:val="296"/>
        </w:trPr>
        <w:tc>
          <w:tcPr>
            <w:tcW w:w="1163" w:type="dxa"/>
            <w:tcBorders>
              <w:top w:val="single" w:sz="8" w:space="0" w:color="4472C4"/>
              <w:left w:val="single" w:sz="8" w:space="0" w:color="auto"/>
              <w:bottom w:val="nil"/>
              <w:right w:val="nil"/>
            </w:tcBorders>
            <w:shd w:val="clear" w:color="auto" w:fill="auto"/>
            <w:noWrap/>
            <w:vAlign w:val="center"/>
            <w:hideMark/>
          </w:tcPr>
          <w:p w14:paraId="347535CF" w14:textId="77777777" w:rsidR="009971CB" w:rsidRPr="00D16707" w:rsidRDefault="009971CB" w:rsidP="009971CB">
            <w:pPr>
              <w:spacing w:after="0" w:line="240" w:lineRule="auto"/>
              <w:rPr>
                <w:rFonts w:eastAsia="Times New Roman" w:cstheme="minorHAnsi"/>
                <w:color w:val="000000"/>
                <w:lang w:eastAsia="en-GB"/>
              </w:rPr>
            </w:pPr>
            <w:r w:rsidRPr="00D16707">
              <w:rPr>
                <w:rFonts w:eastAsia="Times New Roman" w:cstheme="minorHAnsi"/>
                <w:color w:val="000000"/>
                <w:lang w:eastAsia="en-GB"/>
              </w:rPr>
              <w:t> </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2270" w14:textId="77777777" w:rsidR="009971CB" w:rsidRPr="00D16707" w:rsidRDefault="009971CB" w:rsidP="009971CB">
            <w:pPr>
              <w:spacing w:after="0" w:line="240" w:lineRule="auto"/>
              <w:rPr>
                <w:rFonts w:eastAsia="Times New Roman" w:cstheme="minorHAnsi"/>
                <w:b/>
                <w:bCs/>
                <w:color w:val="000000"/>
                <w:lang w:eastAsia="en-GB"/>
              </w:rPr>
            </w:pPr>
            <w:r w:rsidRPr="00D16707">
              <w:rPr>
                <w:rFonts w:eastAsia="Times New Roman" w:cstheme="minorHAnsi"/>
                <w:b/>
                <w:bCs/>
                <w:color w:val="000000"/>
                <w:lang w:eastAsia="en-GB"/>
              </w:rPr>
              <w:t>Per month</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409BED2B" w14:textId="77777777" w:rsidR="009971CB" w:rsidRPr="00D16707" w:rsidRDefault="009971CB" w:rsidP="009971CB">
            <w:pPr>
              <w:spacing w:after="0" w:line="240" w:lineRule="auto"/>
              <w:rPr>
                <w:rFonts w:eastAsia="Times New Roman" w:cstheme="minorHAnsi"/>
                <w:b/>
                <w:bCs/>
                <w:color w:val="000000"/>
                <w:lang w:eastAsia="en-GB"/>
              </w:rPr>
            </w:pPr>
            <w:r w:rsidRPr="00D16707">
              <w:rPr>
                <w:rFonts w:eastAsia="Times New Roman" w:cstheme="minorHAnsi"/>
                <w:b/>
                <w:bCs/>
                <w:color w:val="000000"/>
                <w:lang w:eastAsia="en-GB"/>
              </w:rPr>
              <w:t>Per year</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38E6533A" w14:textId="77777777" w:rsidR="009971CB" w:rsidRPr="00D16707" w:rsidRDefault="009971CB" w:rsidP="009971CB">
            <w:pPr>
              <w:spacing w:after="0" w:line="240" w:lineRule="auto"/>
              <w:rPr>
                <w:rFonts w:eastAsia="Times New Roman" w:cstheme="minorHAnsi"/>
                <w:b/>
                <w:bCs/>
                <w:color w:val="000000"/>
                <w:lang w:eastAsia="en-GB"/>
              </w:rPr>
            </w:pPr>
            <w:r w:rsidRPr="00D16707">
              <w:rPr>
                <w:rFonts w:eastAsia="Times New Roman" w:cstheme="minorHAnsi"/>
                <w:b/>
                <w:bCs/>
                <w:color w:val="000000"/>
                <w:lang w:eastAsia="en-GB"/>
              </w:rPr>
              <w:t>Per 3 years</w:t>
            </w:r>
          </w:p>
        </w:tc>
        <w:tc>
          <w:tcPr>
            <w:tcW w:w="2230" w:type="dxa"/>
            <w:tcBorders>
              <w:top w:val="single" w:sz="4" w:space="0" w:color="auto"/>
              <w:left w:val="nil"/>
              <w:bottom w:val="single" w:sz="4" w:space="0" w:color="auto"/>
              <w:right w:val="single" w:sz="8" w:space="0" w:color="auto"/>
            </w:tcBorders>
            <w:shd w:val="clear" w:color="auto" w:fill="auto"/>
            <w:vAlign w:val="center"/>
            <w:hideMark/>
          </w:tcPr>
          <w:p w14:paraId="7713B248" w14:textId="77777777" w:rsidR="009971CB" w:rsidRPr="00D16707" w:rsidRDefault="009971CB" w:rsidP="009971CB">
            <w:pPr>
              <w:spacing w:after="0" w:line="240" w:lineRule="auto"/>
              <w:rPr>
                <w:rFonts w:eastAsia="Times New Roman" w:cstheme="minorHAnsi"/>
                <w:b/>
                <w:bCs/>
                <w:color w:val="000000"/>
                <w:lang w:eastAsia="en-GB"/>
              </w:rPr>
            </w:pPr>
            <w:r w:rsidRPr="00D16707">
              <w:rPr>
                <w:rFonts w:eastAsia="Times New Roman" w:cstheme="minorHAnsi"/>
                <w:b/>
                <w:bCs/>
                <w:color w:val="000000"/>
                <w:lang w:eastAsia="en-GB"/>
              </w:rPr>
              <w:t>Per 5 years</w:t>
            </w:r>
          </w:p>
        </w:tc>
      </w:tr>
      <w:tr w:rsidR="009971CB" w:rsidRPr="009971CB" w14:paraId="37A9500B" w14:textId="77777777" w:rsidTr="009971CB">
        <w:trPr>
          <w:trHeight w:val="904"/>
        </w:trPr>
        <w:tc>
          <w:tcPr>
            <w:tcW w:w="116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FDB5358" w14:textId="77777777" w:rsidR="009971CB" w:rsidRPr="00D16707" w:rsidRDefault="009971CB" w:rsidP="009971CB">
            <w:pPr>
              <w:spacing w:after="0" w:line="240" w:lineRule="auto"/>
              <w:rPr>
                <w:rFonts w:eastAsia="Times New Roman" w:cstheme="minorHAnsi"/>
                <w:color w:val="000000"/>
                <w:lang w:eastAsia="en-GB"/>
              </w:rPr>
            </w:pPr>
            <w:r w:rsidRPr="00D16707">
              <w:rPr>
                <w:rFonts w:eastAsia="Times New Roman" w:cstheme="minorHAnsi"/>
                <w:color w:val="000000"/>
                <w:lang w:eastAsia="en-GB"/>
              </w:rPr>
              <w:t>Research Cold Store (RCS)</w:t>
            </w:r>
          </w:p>
        </w:tc>
        <w:tc>
          <w:tcPr>
            <w:tcW w:w="1774" w:type="dxa"/>
            <w:tcBorders>
              <w:top w:val="nil"/>
              <w:left w:val="nil"/>
              <w:bottom w:val="single" w:sz="8" w:space="0" w:color="auto"/>
              <w:right w:val="single" w:sz="4" w:space="0" w:color="auto"/>
            </w:tcBorders>
            <w:shd w:val="clear" w:color="D9E1F2" w:fill="D9E1F2"/>
            <w:vAlign w:val="center"/>
            <w:hideMark/>
          </w:tcPr>
          <w:p w14:paraId="2C192E09" w14:textId="77777777" w:rsidR="009971CB" w:rsidRPr="00D16707" w:rsidRDefault="009971CB" w:rsidP="009971CB">
            <w:pPr>
              <w:spacing w:after="0" w:line="240" w:lineRule="auto"/>
              <w:jc w:val="right"/>
              <w:rPr>
                <w:rFonts w:eastAsia="Times New Roman" w:cstheme="minorHAnsi"/>
                <w:color w:val="000000"/>
                <w:lang w:eastAsia="en-GB"/>
              </w:rPr>
            </w:pPr>
            <w:r w:rsidRPr="00D16707">
              <w:rPr>
                <w:rFonts w:eastAsia="Times New Roman" w:cstheme="minorHAnsi"/>
                <w:color w:val="000000"/>
                <w:lang w:eastAsia="en-GB"/>
              </w:rPr>
              <w:t>£2.56</w:t>
            </w:r>
          </w:p>
        </w:tc>
        <w:tc>
          <w:tcPr>
            <w:tcW w:w="2230" w:type="dxa"/>
            <w:tcBorders>
              <w:top w:val="nil"/>
              <w:left w:val="nil"/>
              <w:bottom w:val="single" w:sz="8" w:space="0" w:color="auto"/>
              <w:right w:val="single" w:sz="4" w:space="0" w:color="auto"/>
            </w:tcBorders>
            <w:shd w:val="clear" w:color="D9E1F2" w:fill="D9E1F2"/>
            <w:vAlign w:val="center"/>
            <w:hideMark/>
          </w:tcPr>
          <w:p w14:paraId="5D07EBA8" w14:textId="77777777" w:rsidR="009971CB" w:rsidRPr="00D16707" w:rsidRDefault="009971CB" w:rsidP="009971CB">
            <w:pPr>
              <w:spacing w:after="0" w:line="240" w:lineRule="auto"/>
              <w:jc w:val="right"/>
              <w:rPr>
                <w:rFonts w:eastAsia="Times New Roman" w:cstheme="minorHAnsi"/>
                <w:color w:val="000000"/>
                <w:lang w:eastAsia="en-GB"/>
              </w:rPr>
            </w:pPr>
            <w:r w:rsidRPr="00D16707">
              <w:rPr>
                <w:rFonts w:eastAsia="Times New Roman" w:cstheme="minorHAnsi"/>
                <w:color w:val="000000"/>
                <w:lang w:eastAsia="en-GB"/>
              </w:rPr>
              <w:t>£30.72</w:t>
            </w:r>
          </w:p>
        </w:tc>
        <w:tc>
          <w:tcPr>
            <w:tcW w:w="2230" w:type="dxa"/>
            <w:tcBorders>
              <w:top w:val="nil"/>
              <w:left w:val="nil"/>
              <w:bottom w:val="single" w:sz="8" w:space="0" w:color="auto"/>
              <w:right w:val="single" w:sz="4" w:space="0" w:color="auto"/>
            </w:tcBorders>
            <w:shd w:val="clear" w:color="D9E1F2" w:fill="D9E1F2"/>
            <w:vAlign w:val="center"/>
            <w:hideMark/>
          </w:tcPr>
          <w:p w14:paraId="13E86473" w14:textId="77777777" w:rsidR="009971CB" w:rsidRPr="00D16707" w:rsidRDefault="009971CB" w:rsidP="009971CB">
            <w:pPr>
              <w:spacing w:after="0" w:line="240" w:lineRule="auto"/>
              <w:jc w:val="right"/>
              <w:rPr>
                <w:rFonts w:eastAsia="Times New Roman" w:cstheme="minorHAnsi"/>
                <w:color w:val="000000"/>
                <w:lang w:eastAsia="en-GB"/>
              </w:rPr>
            </w:pPr>
            <w:r w:rsidRPr="00D16707">
              <w:rPr>
                <w:rFonts w:eastAsia="Times New Roman" w:cstheme="minorHAnsi"/>
                <w:color w:val="000000"/>
                <w:lang w:eastAsia="en-GB"/>
              </w:rPr>
              <w:t>£92.16</w:t>
            </w:r>
          </w:p>
        </w:tc>
        <w:tc>
          <w:tcPr>
            <w:tcW w:w="2230" w:type="dxa"/>
            <w:tcBorders>
              <w:top w:val="nil"/>
              <w:left w:val="nil"/>
              <w:bottom w:val="single" w:sz="8" w:space="0" w:color="auto"/>
              <w:right w:val="single" w:sz="8" w:space="0" w:color="auto"/>
            </w:tcBorders>
            <w:shd w:val="clear" w:color="D9E1F2" w:fill="D9E1F2"/>
            <w:vAlign w:val="center"/>
            <w:hideMark/>
          </w:tcPr>
          <w:p w14:paraId="55625024" w14:textId="77777777" w:rsidR="009971CB" w:rsidRPr="00D16707" w:rsidRDefault="009971CB" w:rsidP="009971CB">
            <w:pPr>
              <w:spacing w:after="0" w:line="240" w:lineRule="auto"/>
              <w:jc w:val="right"/>
              <w:rPr>
                <w:rFonts w:eastAsia="Times New Roman" w:cstheme="minorHAnsi"/>
                <w:color w:val="000000"/>
                <w:lang w:eastAsia="en-GB"/>
              </w:rPr>
            </w:pPr>
            <w:r w:rsidRPr="00D16707">
              <w:rPr>
                <w:rFonts w:eastAsia="Times New Roman" w:cstheme="minorHAnsi"/>
                <w:color w:val="000000"/>
                <w:lang w:eastAsia="en-GB"/>
              </w:rPr>
              <w:t>£153.60</w:t>
            </w:r>
          </w:p>
        </w:tc>
      </w:tr>
    </w:tbl>
    <w:p w14:paraId="122E1949" w14:textId="0D8CB7E0" w:rsidR="00BC298F" w:rsidRDefault="00BC298F"/>
    <w:p w14:paraId="7DFC9774" w14:textId="00DF5E00" w:rsidR="006F64BB" w:rsidRDefault="003065AD">
      <w:r>
        <w:t>Any data that is moved to RCS will be fully accessible to you once you have</w:t>
      </w:r>
      <w:r w:rsidR="00A91BCB">
        <w:t xml:space="preserve"> migrated over to using CSCS Services. To do this, you will </w:t>
      </w:r>
      <w:r w:rsidR="00BC298F">
        <w:t xml:space="preserve">simply need a Raven based account to access the store via and SFTP connection (we can provide guides on </w:t>
      </w:r>
      <w:r w:rsidR="00DC60C6">
        <w:t>how to access via SFTP from devices</w:t>
      </w:r>
      <w:r w:rsidR="00BC298F">
        <w:t xml:space="preserve">). </w:t>
      </w:r>
    </w:p>
    <w:p w14:paraId="2B0B32BD" w14:textId="77777777" w:rsidR="00A91BCB" w:rsidRDefault="00BC298F" w:rsidP="00A91BCB">
      <w:r>
        <w:t>All data stored here is backed up in 2 locations and all located within the UK.</w:t>
      </w:r>
      <w:r w:rsidR="00A91BCB">
        <w:t xml:space="preserve"> Further details on the service can be found on the UIS HPC website </w:t>
      </w:r>
      <w:hyperlink r:id="rId19" w:history="1">
        <w:r w:rsidR="00A91BCB" w:rsidRPr="00776B26">
          <w:rPr>
            <w:rStyle w:val="Hyperlink"/>
          </w:rPr>
          <w:t>here.</w:t>
        </w:r>
      </w:hyperlink>
    </w:p>
    <w:p w14:paraId="436482E1" w14:textId="77777777" w:rsidR="00A91BCB" w:rsidRDefault="00A91BCB" w:rsidP="00A91BCB">
      <w:r>
        <w:t xml:space="preserve">Please note that in order to move your data to RCS: </w:t>
      </w:r>
    </w:p>
    <w:p w14:paraId="7856F4E1" w14:textId="009085AA" w:rsidR="00A91BCB" w:rsidRPr="00A91BCB" w:rsidRDefault="00A91BCB" w:rsidP="00A91BCB">
      <w:pPr>
        <w:pStyle w:val="ListParagraph"/>
        <w:numPr>
          <w:ilvl w:val="0"/>
          <w:numId w:val="13"/>
        </w:numPr>
      </w:pPr>
      <w:r w:rsidRPr="00A91BCB">
        <w:t>Data needs to be compressed into 1-2TB files</w:t>
      </w:r>
    </w:p>
    <w:p w14:paraId="3AFD5D84" w14:textId="10CB53F7" w:rsidR="00A91BCB" w:rsidRPr="00A91BCB" w:rsidRDefault="00A91BCB" w:rsidP="00A91BCB">
      <w:pPr>
        <w:pStyle w:val="ListParagraph"/>
        <w:numPr>
          <w:ilvl w:val="0"/>
          <w:numId w:val="13"/>
        </w:numPr>
      </w:pPr>
      <w:r>
        <w:t>This must be using</w:t>
      </w:r>
      <w:r w:rsidRPr="00A91BCB">
        <w:t xml:space="preserve"> standard compression tools</w:t>
      </w:r>
      <w:r w:rsidR="00822589">
        <w:t>;</w:t>
      </w:r>
      <w:r w:rsidRPr="00A91BCB">
        <w:t xml:space="preserve"> tar, zip, </w:t>
      </w:r>
      <w:proofErr w:type="spellStart"/>
      <w:r w:rsidRPr="00A91BCB">
        <w:t>bzip</w:t>
      </w:r>
      <w:proofErr w:type="spellEnd"/>
      <w:r w:rsidRPr="00A91BCB">
        <w:t xml:space="preserve">, </w:t>
      </w:r>
      <w:proofErr w:type="spellStart"/>
      <w:r w:rsidRPr="00A91BCB">
        <w:t>pbzip</w:t>
      </w:r>
      <w:proofErr w:type="spellEnd"/>
      <w:r w:rsidRPr="00A91BCB">
        <w:t xml:space="preserve"> etc</w:t>
      </w:r>
    </w:p>
    <w:p w14:paraId="24F95B82" w14:textId="457015F5" w:rsidR="00A91BCB" w:rsidRPr="00A91BCB" w:rsidRDefault="00A91BCB" w:rsidP="00A91BCB">
      <w:pPr>
        <w:pStyle w:val="ListParagraph"/>
        <w:numPr>
          <w:ilvl w:val="0"/>
          <w:numId w:val="13"/>
        </w:numPr>
      </w:pPr>
      <w:r w:rsidRPr="00A91BCB">
        <w:t xml:space="preserve">RCS projects are accessible from the </w:t>
      </w:r>
      <w:r>
        <w:t xml:space="preserve">UIS </w:t>
      </w:r>
      <w:r w:rsidRPr="00A91BCB">
        <w:t>HPC cluster, this means data can be pulled onto RDS for processing</w:t>
      </w:r>
      <w:r>
        <w:t xml:space="preserve"> (see section below on this UIS service)</w:t>
      </w:r>
    </w:p>
    <w:p w14:paraId="34DEC450" w14:textId="641345BD" w:rsidR="009B64A1" w:rsidRDefault="009B64A1">
      <w:r>
        <w:t xml:space="preserve">Additional to </w:t>
      </w:r>
      <w:r w:rsidR="00E007C8">
        <w:t>the above categories</w:t>
      </w:r>
      <w:r>
        <w:t xml:space="preserve"> it would be suggested that the department define policies on usage for the below </w:t>
      </w:r>
      <w:r w:rsidR="00586AFA">
        <w:t>data</w:t>
      </w:r>
      <w:r w:rsidR="00E007C8">
        <w:t xml:space="preserve"> types.</w:t>
      </w:r>
    </w:p>
    <w:p w14:paraId="526757B9" w14:textId="77777777" w:rsidR="00A02EA1" w:rsidRDefault="00A02EA1"/>
    <w:p w14:paraId="1F18DFFC" w14:textId="12F27CF9" w:rsidR="004E493D" w:rsidRDefault="006F4CB0">
      <w:pPr>
        <w:rPr>
          <w:b/>
          <w:bCs/>
          <w:u w:val="single"/>
        </w:rPr>
      </w:pPr>
      <w:r w:rsidRPr="009B64A1">
        <w:rPr>
          <w:b/>
          <w:bCs/>
          <w:u w:val="single"/>
        </w:rPr>
        <w:t>C</w:t>
      </w:r>
      <w:r>
        <w:rPr>
          <w:b/>
          <w:bCs/>
          <w:u w:val="single"/>
        </w:rPr>
        <w:t xml:space="preserve">omputational Data </w:t>
      </w:r>
    </w:p>
    <w:p w14:paraId="5FE4BB93" w14:textId="23124836" w:rsidR="006F4CB0" w:rsidRDefault="00F173D7">
      <w:r>
        <w:t>Data classified as bioinformatic</w:t>
      </w:r>
      <w:r w:rsidR="006F4CB0">
        <w:t>, genomic</w:t>
      </w:r>
      <w:r>
        <w:t xml:space="preserve"> or </w:t>
      </w:r>
      <w:r w:rsidR="006F4CB0">
        <w:t xml:space="preserve">very </w:t>
      </w:r>
      <w:r>
        <w:t>large data sets</w:t>
      </w:r>
      <w:r w:rsidR="006F4CB0">
        <w:t xml:space="preserve">. Including </w:t>
      </w:r>
      <w:r w:rsidR="00BF2027">
        <w:t>l</w:t>
      </w:r>
      <w:r w:rsidR="006F4CB0" w:rsidRPr="006F4CB0">
        <w:t>arge reference data sets that get downloaded (and can be retrieved again) such as UK Biobank</w:t>
      </w:r>
      <w:r w:rsidR="006F4CB0">
        <w:t xml:space="preserve">. This </w:t>
      </w:r>
      <w:r w:rsidR="00D16707">
        <w:t xml:space="preserve">would typically </w:t>
      </w:r>
      <w:r w:rsidR="006F4CB0">
        <w:t xml:space="preserve">be stored or </w:t>
      </w:r>
      <w:r w:rsidR="00D16707">
        <w:t xml:space="preserve">processed by a </w:t>
      </w:r>
      <w:r w:rsidR="006F4CB0">
        <w:t>dedicated server</w:t>
      </w:r>
      <w:r w:rsidR="00D16707">
        <w:t xml:space="preserve"> </w:t>
      </w:r>
      <w:r w:rsidR="006F4CB0">
        <w:t xml:space="preserve">(that the group owns and you may need CSCS to host) </w:t>
      </w:r>
      <w:r w:rsidR="00D16707">
        <w:t>or a cluster</w:t>
      </w:r>
      <w:r w:rsidR="006F4CB0">
        <w:t xml:space="preserve">. </w:t>
      </w:r>
    </w:p>
    <w:p w14:paraId="43F097A4" w14:textId="0B890557" w:rsidR="00D16707" w:rsidRDefault="006F4CB0">
      <w:r>
        <w:t xml:space="preserve">This data would require fast storage that is accessible from the central server/cluster. Typically, this is not backed up and the storage is only used as a scratch space for data that is being processed. </w:t>
      </w:r>
    </w:p>
    <w:p w14:paraId="3F921BE1" w14:textId="38686F17" w:rsidR="004E493D" w:rsidRDefault="009B64A1">
      <w:r>
        <w:t>Department to define their policy on usage and providers to be used for these services.</w:t>
      </w:r>
      <w:r w:rsidR="00AF6C18">
        <w:t xml:space="preserve"> As part of this work, things to consider are: </w:t>
      </w:r>
    </w:p>
    <w:p w14:paraId="39680DAD" w14:textId="0F528451" w:rsidR="00AF6C18" w:rsidRDefault="00AF6C18" w:rsidP="00AF6C18">
      <w:pPr>
        <w:pStyle w:val="ListParagraph"/>
        <w:numPr>
          <w:ilvl w:val="0"/>
          <w:numId w:val="12"/>
        </w:numPr>
      </w:pPr>
      <w:r w:rsidRPr="00AF6C18">
        <w:lastRenderedPageBreak/>
        <w:t>How much of the data you have is HPC/</w:t>
      </w:r>
      <w:r w:rsidR="006F4CB0">
        <w:t>b</w:t>
      </w:r>
      <w:r w:rsidRPr="00AF6C18">
        <w:t>ioinformatic data that requires a cluster for processing?</w:t>
      </w:r>
    </w:p>
    <w:p w14:paraId="75D159F8" w14:textId="4E087C28" w:rsidR="00AF6C18" w:rsidRDefault="00AF6C18" w:rsidP="00AF6C18">
      <w:pPr>
        <w:pStyle w:val="ListParagraph"/>
        <w:numPr>
          <w:ilvl w:val="0"/>
          <w:numId w:val="12"/>
        </w:numPr>
      </w:pPr>
      <w:r w:rsidRPr="00AF6C18">
        <w:t xml:space="preserve">Can you get the raw data again? </w:t>
      </w:r>
      <w:r w:rsidR="006F4CB0">
        <w:t>I</w:t>
      </w:r>
      <w:r w:rsidRPr="00AF6C18">
        <w:t>f no</w:t>
      </w:r>
      <w:r w:rsidR="006F4CB0">
        <w:t>,</w:t>
      </w:r>
      <w:r w:rsidRPr="00AF6C18">
        <w:t xml:space="preserve"> how much do you need to </w:t>
      </w:r>
      <w:proofErr w:type="spellStart"/>
      <w:r w:rsidRPr="00AF6C18">
        <w:t>backup</w:t>
      </w:r>
      <w:proofErr w:type="spellEnd"/>
      <w:r w:rsidRPr="00AF6C18">
        <w:t>?</w:t>
      </w:r>
    </w:p>
    <w:p w14:paraId="0A1981D7" w14:textId="77777777" w:rsidR="00AF6C18" w:rsidRDefault="00AF6C18" w:rsidP="00AF6C18">
      <w:pPr>
        <w:pStyle w:val="ListParagraph"/>
        <w:numPr>
          <w:ilvl w:val="0"/>
          <w:numId w:val="12"/>
        </w:numPr>
      </w:pPr>
      <w:r w:rsidRPr="00AF6C18">
        <w:t>Do you remove intermediate files or compress data as part of your workflow?</w:t>
      </w:r>
    </w:p>
    <w:p w14:paraId="793D2B54" w14:textId="7E251BCB" w:rsidR="006F4CB0" w:rsidRPr="006F4CB0" w:rsidRDefault="00AF6C18" w:rsidP="006F4CB0">
      <w:pPr>
        <w:pStyle w:val="ListParagraph"/>
        <w:numPr>
          <w:ilvl w:val="0"/>
          <w:numId w:val="12"/>
        </w:numPr>
      </w:pPr>
      <w:r w:rsidRPr="00AF6C18">
        <w:t>Data for processing goes to RDS, copies of raw data, results or data you need a backup of goes to RCS</w:t>
      </w:r>
    </w:p>
    <w:p w14:paraId="4AEFFAE9" w14:textId="0F6900E2" w:rsidR="0095525C" w:rsidRDefault="006F4CB0" w:rsidP="006F4CB0">
      <w:pPr>
        <w:rPr>
          <w:rFonts w:ascii="Calibri" w:hAnsi="Calibri" w:cs="Calibri"/>
        </w:rPr>
      </w:pPr>
      <w:r w:rsidRPr="006F4CB0">
        <w:t xml:space="preserve">CSCS do not offer a </w:t>
      </w:r>
      <w:r w:rsidR="0095525C">
        <w:t xml:space="preserve">dedicated </w:t>
      </w:r>
      <w:r w:rsidRPr="006F4CB0">
        <w:t>HPC service</w:t>
      </w:r>
      <w:r w:rsidR="0095525C">
        <w:t xml:space="preserve"> as this would duplicate a service already provided by University Information Services (UIS). Therefore, a</w:t>
      </w:r>
      <w:r w:rsidR="0095525C">
        <w:rPr>
          <w:rFonts w:ascii="Calibri" w:hAnsi="Calibri" w:cs="Calibri"/>
        </w:rPr>
        <w:t xml:space="preserve">ny critical Hutch IT non-standard services such as HPC will remain in operation but will not be migrated over to CSCS. Groups will be provided with remote access to these resources as an interim solution. </w:t>
      </w:r>
      <w:r w:rsidR="00DB1530">
        <w:rPr>
          <w:rFonts w:ascii="Calibri" w:hAnsi="Calibri" w:cs="Calibri"/>
        </w:rPr>
        <w:t xml:space="preserve">As part of any pre-migration project engagement, CSCS will facilitate initial engagement with the UIS HPC team, to review your requirements and discuss potential services that can be offered to you at </w:t>
      </w:r>
      <w:proofErr w:type="spellStart"/>
      <w:r w:rsidR="00DB1530">
        <w:rPr>
          <w:rFonts w:ascii="Calibri" w:hAnsi="Calibri" w:cs="Calibri"/>
        </w:rPr>
        <w:t>UoC</w:t>
      </w:r>
      <w:proofErr w:type="spellEnd"/>
      <w:r w:rsidR="00DB1530">
        <w:rPr>
          <w:rFonts w:ascii="Calibri" w:hAnsi="Calibri" w:cs="Calibri"/>
        </w:rPr>
        <w:t xml:space="preserve">.  </w:t>
      </w:r>
    </w:p>
    <w:p w14:paraId="7250EE35" w14:textId="77777777" w:rsidR="0095525C" w:rsidRPr="00DB1530" w:rsidRDefault="0095525C" w:rsidP="006F4CB0">
      <w:pPr>
        <w:rPr>
          <w:rFonts w:ascii="Calibri" w:hAnsi="Calibri" w:cs="Calibri"/>
        </w:rPr>
      </w:pPr>
    </w:p>
    <w:p w14:paraId="56B53B6D" w14:textId="7C3E3587" w:rsidR="00AF6C18" w:rsidRPr="000D38DC" w:rsidRDefault="000D38DC" w:rsidP="000D38DC">
      <w:r w:rsidRPr="000D38DC">
        <w:rPr>
          <w:b/>
          <w:bCs/>
        </w:rPr>
        <w:t xml:space="preserve">Additional </w:t>
      </w:r>
      <w:r w:rsidR="00AF6C18" w:rsidRPr="000D38DC">
        <w:rPr>
          <w:b/>
          <w:bCs/>
        </w:rPr>
        <w:t>HPC Guidance</w:t>
      </w:r>
    </w:p>
    <w:p w14:paraId="01B5B1C6" w14:textId="2D20BF9E" w:rsidR="00AF6C18" w:rsidRPr="000D38DC" w:rsidRDefault="00AF6C18" w:rsidP="000D38DC">
      <w:pPr>
        <w:pStyle w:val="ListParagraph"/>
        <w:numPr>
          <w:ilvl w:val="0"/>
          <w:numId w:val="14"/>
        </w:numPr>
      </w:pPr>
      <w:r w:rsidRPr="000D38DC">
        <w:t>User</w:t>
      </w:r>
      <w:r w:rsidR="00090CDC">
        <w:t>s</w:t>
      </w:r>
      <w:r w:rsidRPr="000D38DC">
        <w:t xml:space="preserve"> that require the ability to process data with standard Bioinformatic tools will need an HPC account</w:t>
      </w:r>
    </w:p>
    <w:p w14:paraId="32719EFF" w14:textId="77777777" w:rsidR="00AF6C18" w:rsidRPr="000D38DC" w:rsidRDefault="00AF6C18" w:rsidP="000D38DC">
      <w:pPr>
        <w:pStyle w:val="ListParagraph"/>
        <w:numPr>
          <w:ilvl w:val="0"/>
          <w:numId w:val="14"/>
        </w:numPr>
      </w:pPr>
      <w:r w:rsidRPr="000D38DC">
        <w:t>When you apply for an account the lead PI for the group is allocated 200,000 core hours per quarter</w:t>
      </w:r>
    </w:p>
    <w:p w14:paraId="4BED5A9B" w14:textId="45847080" w:rsidR="00AF6C18" w:rsidRPr="000D38DC" w:rsidRDefault="00AF6C18" w:rsidP="000D38DC">
      <w:pPr>
        <w:pStyle w:val="ListParagraph"/>
        <w:numPr>
          <w:ilvl w:val="0"/>
          <w:numId w:val="14"/>
        </w:numPr>
      </w:pPr>
      <w:r w:rsidRPr="000D38DC">
        <w:t>Core hours are then shared with the group and additional computation time is chargeable</w:t>
      </w:r>
      <w:r w:rsidR="005640FC">
        <w:t>.</w:t>
      </w:r>
    </w:p>
    <w:p w14:paraId="3EDDDAB7" w14:textId="77777777" w:rsidR="00AF6C18" w:rsidRPr="004E493D" w:rsidRDefault="00AF6C18"/>
    <w:p w14:paraId="62DFDCEC" w14:textId="54C1C2BA" w:rsidR="009B64A1" w:rsidRDefault="00586AFA">
      <w:pPr>
        <w:rPr>
          <w:b/>
          <w:bCs/>
          <w:u w:val="single"/>
        </w:rPr>
      </w:pPr>
      <w:r>
        <w:rPr>
          <w:b/>
          <w:bCs/>
          <w:u w:val="single"/>
        </w:rPr>
        <w:t>PID (</w:t>
      </w:r>
      <w:r w:rsidR="009B64A1">
        <w:rPr>
          <w:b/>
          <w:bCs/>
          <w:u w:val="single"/>
        </w:rPr>
        <w:t>Patient Identifiable Data</w:t>
      </w:r>
      <w:r>
        <w:rPr>
          <w:b/>
          <w:bCs/>
          <w:u w:val="single"/>
        </w:rPr>
        <w:t>)</w:t>
      </w:r>
    </w:p>
    <w:p w14:paraId="66577F0D" w14:textId="77777777" w:rsidR="009B64A1" w:rsidRDefault="009B64A1">
      <w:r>
        <w:t>Department to define their policy on usage and providers to be used for these services.</w:t>
      </w:r>
    </w:p>
    <w:p w14:paraId="733C50D4" w14:textId="54B7E312" w:rsidR="004E493D" w:rsidRDefault="00586AFA">
      <w:r>
        <w:t xml:space="preserve">CSCS operate the </w:t>
      </w:r>
      <w:hyperlink r:id="rId20" w:history="1">
        <w:r w:rsidRPr="00586AFA">
          <w:rPr>
            <w:rStyle w:val="Hyperlink"/>
          </w:rPr>
          <w:t>SDHS (Secure Data Hosting Service)</w:t>
        </w:r>
      </w:hyperlink>
      <w:r>
        <w:t xml:space="preserve"> which is a certified Safe Haven and can be used to store PID, alongside service</w:t>
      </w:r>
      <w:r w:rsidR="00BF2027">
        <w:t>s</w:t>
      </w:r>
      <w:r>
        <w:t xml:space="preserve"> offered by the NHS.</w:t>
      </w:r>
    </w:p>
    <w:p w14:paraId="0E15F5FB" w14:textId="77777777" w:rsidR="000D38DC" w:rsidRDefault="000D38DC"/>
    <w:p w14:paraId="711322B7" w14:textId="70427758" w:rsidR="00AF6C18" w:rsidRDefault="009B64A1">
      <w:r>
        <w:rPr>
          <w:b/>
          <w:bCs/>
          <w:u w:val="single"/>
        </w:rPr>
        <w:t>External Storage – Hard</w:t>
      </w:r>
      <w:r w:rsidR="00476B13">
        <w:rPr>
          <w:b/>
          <w:bCs/>
          <w:u w:val="single"/>
        </w:rPr>
        <w:t xml:space="preserve"> d</w:t>
      </w:r>
      <w:r>
        <w:rPr>
          <w:b/>
          <w:bCs/>
          <w:u w:val="single"/>
        </w:rPr>
        <w:t>rives, USB, NAS Drives etc.</w:t>
      </w:r>
      <w:r>
        <w:rPr>
          <w:b/>
          <w:bCs/>
          <w:u w:val="single"/>
        </w:rPr>
        <w:br/>
      </w:r>
      <w:r w:rsidR="0074428F">
        <w:rPr>
          <w:b/>
          <w:bCs/>
        </w:rPr>
        <w:br/>
      </w:r>
      <w:r w:rsidR="0074428F">
        <w:t>Department to define their policy on usage.</w:t>
      </w:r>
      <w:r w:rsidR="00A02EA1">
        <w:t xml:space="preserve"> </w:t>
      </w:r>
      <w:r>
        <w:t xml:space="preserve">CSCS recommend </w:t>
      </w:r>
      <w:r w:rsidR="006F64BB">
        <w:t xml:space="preserve">the department plan out the moving of data and elimination of existing external storage plus policies regarding procurement and future use </w:t>
      </w:r>
      <w:r>
        <w:t xml:space="preserve">of </w:t>
      </w:r>
      <w:r w:rsidR="0074428F">
        <w:t xml:space="preserve">external </w:t>
      </w:r>
      <w:r>
        <w:t>devices</w:t>
      </w:r>
      <w:r w:rsidR="0074428F">
        <w:t xml:space="preserve"> for data storage</w:t>
      </w:r>
      <w:r>
        <w:t xml:space="preserve"> wherever possible</w:t>
      </w:r>
      <w:r w:rsidR="0074428F">
        <w:t xml:space="preserve"> to protect against </w:t>
      </w:r>
      <w:r>
        <w:t xml:space="preserve">data loss. </w:t>
      </w:r>
    </w:p>
    <w:p w14:paraId="7D0FA0C0" w14:textId="6AF47202" w:rsidR="00AF6C18" w:rsidRPr="00AF6C18" w:rsidRDefault="000F57F9" w:rsidP="00AF6C18">
      <w:pPr>
        <w:rPr>
          <w:b/>
          <w:bCs/>
          <w:u w:val="single"/>
        </w:rPr>
      </w:pPr>
      <w:r>
        <w:rPr>
          <w:b/>
          <w:bCs/>
          <w:u w:val="single"/>
        </w:rPr>
        <w:t xml:space="preserve">Summary: </w:t>
      </w:r>
      <w:r w:rsidR="00AF6C18" w:rsidRPr="00AF6C18">
        <w:rPr>
          <w:b/>
          <w:bCs/>
          <w:u w:val="single"/>
        </w:rPr>
        <w:t xml:space="preserve">What </w:t>
      </w:r>
      <w:r w:rsidR="00AF6C18">
        <w:rPr>
          <w:b/>
          <w:bCs/>
          <w:u w:val="single"/>
        </w:rPr>
        <w:t>CSCS</w:t>
      </w:r>
      <w:r w:rsidR="00AF6C18" w:rsidRPr="00AF6C18">
        <w:rPr>
          <w:b/>
          <w:bCs/>
          <w:u w:val="single"/>
        </w:rPr>
        <w:t xml:space="preserve"> need from you prior to any migration </w:t>
      </w:r>
    </w:p>
    <w:p w14:paraId="5B96E0B5" w14:textId="253657E4" w:rsidR="00AF6C18" w:rsidRPr="00AF6C18" w:rsidRDefault="00AF6C18" w:rsidP="00AF6C18">
      <w:r w:rsidRPr="00AF6C18">
        <w:t>Classify your data </w:t>
      </w:r>
      <w:r>
        <w:t xml:space="preserve">according to the categories we have just outlined. </w:t>
      </w:r>
    </w:p>
    <w:p w14:paraId="46375C71" w14:textId="1000751B" w:rsidR="00AF6C18" w:rsidRPr="00AF6C18" w:rsidRDefault="00AF6C18" w:rsidP="00AF6C18">
      <w:pPr>
        <w:pStyle w:val="ListParagraph"/>
        <w:numPr>
          <w:ilvl w:val="0"/>
          <w:numId w:val="10"/>
        </w:numPr>
      </w:pPr>
      <w:r w:rsidRPr="00AF6C18">
        <w:t>How much data is cold</w:t>
      </w:r>
      <w:r w:rsidR="00393324">
        <w:t>?</w:t>
      </w:r>
    </w:p>
    <w:p w14:paraId="54E228FA" w14:textId="1D77EB60" w:rsidR="00AF6C18" w:rsidRPr="00AF6C18" w:rsidRDefault="00AF6C18" w:rsidP="00AF6C18">
      <w:pPr>
        <w:pStyle w:val="ListParagraph"/>
        <w:numPr>
          <w:ilvl w:val="0"/>
          <w:numId w:val="10"/>
        </w:numPr>
      </w:pPr>
      <w:r w:rsidRPr="00AF6C18">
        <w:t>How much data is live</w:t>
      </w:r>
      <w:r w:rsidR="00393324">
        <w:t>?</w:t>
      </w:r>
    </w:p>
    <w:p w14:paraId="034AD511" w14:textId="7D68267F" w:rsidR="00AF6C18" w:rsidRPr="00AF6C18" w:rsidRDefault="00AF6C18" w:rsidP="00AF6C18">
      <w:pPr>
        <w:pStyle w:val="ListParagraph"/>
        <w:numPr>
          <w:ilvl w:val="0"/>
          <w:numId w:val="10"/>
        </w:numPr>
      </w:pPr>
      <w:r w:rsidRPr="00AF6C18">
        <w:t>How much data do you need to access using HPC (or a dedicated processing server)</w:t>
      </w:r>
      <w:r w:rsidR="00393324">
        <w:t>?</w:t>
      </w:r>
    </w:p>
    <w:p w14:paraId="68DCA346" w14:textId="3600A799" w:rsidR="00AF6C18" w:rsidRPr="00AF6C18" w:rsidRDefault="00AF6C18" w:rsidP="00AF6C18">
      <w:pPr>
        <w:pStyle w:val="ListParagraph"/>
        <w:numPr>
          <w:ilvl w:val="0"/>
          <w:numId w:val="10"/>
        </w:numPr>
      </w:pPr>
      <w:r w:rsidRPr="00AF6C18">
        <w:t xml:space="preserve">Do you have data lifecycle management as part of </w:t>
      </w:r>
      <w:r w:rsidR="00393324">
        <w:t>your processes for computational</w:t>
      </w:r>
      <w:r w:rsidR="00393324" w:rsidRPr="00AF6C18">
        <w:t xml:space="preserve"> data</w:t>
      </w:r>
      <w:r w:rsidR="00393324">
        <w:t>?</w:t>
      </w:r>
    </w:p>
    <w:p w14:paraId="1163F2EC" w14:textId="77777777" w:rsidR="000F57F9" w:rsidRDefault="006F4CB0" w:rsidP="00AF6C18">
      <w:r>
        <w:t xml:space="preserve">We would expect you to take some </w:t>
      </w:r>
      <w:r w:rsidR="003065AD">
        <w:t>time to</w:t>
      </w:r>
      <w:r w:rsidR="000F57F9">
        <w:t xml:space="preserve">: </w:t>
      </w:r>
    </w:p>
    <w:p w14:paraId="74854654" w14:textId="61852688" w:rsidR="00AF6C18" w:rsidRPr="00AF6C18" w:rsidRDefault="000F57F9" w:rsidP="000F57F9">
      <w:pPr>
        <w:pStyle w:val="ListParagraph"/>
        <w:numPr>
          <w:ilvl w:val="0"/>
          <w:numId w:val="15"/>
        </w:numPr>
      </w:pPr>
      <w:r>
        <w:t>C</w:t>
      </w:r>
      <w:r w:rsidR="003065AD">
        <w:t xml:space="preserve">omplete </w:t>
      </w:r>
      <w:r>
        <w:t xml:space="preserve">some data </w:t>
      </w:r>
      <w:r w:rsidR="00AF6C18" w:rsidRPr="00AF6C18">
        <w:t>cleansing prior to migration </w:t>
      </w:r>
      <w:r>
        <w:t xml:space="preserve"> </w:t>
      </w:r>
    </w:p>
    <w:p w14:paraId="37E7F642" w14:textId="3EB37AA7" w:rsidR="00AF6C18" w:rsidRDefault="00AF6C18" w:rsidP="000F57F9">
      <w:pPr>
        <w:pStyle w:val="ListParagraph"/>
        <w:numPr>
          <w:ilvl w:val="0"/>
          <w:numId w:val="15"/>
        </w:numPr>
      </w:pPr>
      <w:r w:rsidRPr="00AF6C18">
        <w:t>Chose the right storage option</w:t>
      </w:r>
      <w:r w:rsidR="00BF2027">
        <w:t>/s</w:t>
      </w:r>
      <w:r w:rsidRPr="00AF6C18">
        <w:t> </w:t>
      </w:r>
      <w:r w:rsidR="000F57F9">
        <w:t xml:space="preserve">(based on </w:t>
      </w:r>
      <w:r w:rsidR="003E2294">
        <w:t>the options above</w:t>
      </w:r>
      <w:r w:rsidR="000F57F9">
        <w:t xml:space="preserve">) </w:t>
      </w:r>
    </w:p>
    <w:p w14:paraId="3F6E145A" w14:textId="77777777" w:rsidR="00AF6C18" w:rsidRPr="009B64A1" w:rsidRDefault="00AF6C18"/>
    <w:sectPr w:rsidR="00AF6C18" w:rsidRPr="009B64A1" w:rsidSect="004E493D">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C9E" w14:textId="77777777" w:rsidR="005B037C" w:rsidRDefault="005B037C" w:rsidP="00776B26">
      <w:pPr>
        <w:spacing w:after="0" w:line="240" w:lineRule="auto"/>
      </w:pPr>
      <w:r>
        <w:separator/>
      </w:r>
    </w:p>
  </w:endnote>
  <w:endnote w:type="continuationSeparator" w:id="0">
    <w:p w14:paraId="56F1B2EE" w14:textId="77777777" w:rsidR="005B037C" w:rsidRDefault="005B037C" w:rsidP="0077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F132" w14:textId="77777777" w:rsidR="005B037C" w:rsidRDefault="005B037C" w:rsidP="00776B26">
      <w:pPr>
        <w:spacing w:after="0" w:line="240" w:lineRule="auto"/>
      </w:pPr>
      <w:r>
        <w:separator/>
      </w:r>
    </w:p>
  </w:footnote>
  <w:footnote w:type="continuationSeparator" w:id="0">
    <w:p w14:paraId="68952908" w14:textId="77777777" w:rsidR="005B037C" w:rsidRDefault="005B037C" w:rsidP="00776B26">
      <w:pPr>
        <w:spacing w:after="0" w:line="240" w:lineRule="auto"/>
      </w:pPr>
      <w:r>
        <w:continuationSeparator/>
      </w:r>
    </w:p>
  </w:footnote>
  <w:footnote w:id="1">
    <w:p w14:paraId="2706F793" w14:textId="47126156" w:rsidR="00776B26" w:rsidRDefault="00776B26">
      <w:pPr>
        <w:pStyle w:val="FootnoteText"/>
      </w:pPr>
      <w:r>
        <w:rPr>
          <w:rStyle w:val="FootnoteReference"/>
        </w:rPr>
        <w:footnoteRef/>
      </w:r>
      <w:r>
        <w:t xml:space="preserve"> Information on pricing from </w:t>
      </w:r>
      <w:hyperlink r:id="rId1" w:history="1">
        <w:r w:rsidRPr="008D6F3C">
          <w:rPr>
            <w:rStyle w:val="Hyperlink"/>
          </w:rPr>
          <w:t>https://www.hpc.cam.ac.uk/research-data-storage-services/price-list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0BF"/>
    <w:multiLevelType w:val="hybridMultilevel"/>
    <w:tmpl w:val="A6D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5F3F"/>
    <w:multiLevelType w:val="multilevel"/>
    <w:tmpl w:val="78DE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50BC0"/>
    <w:multiLevelType w:val="hybridMultilevel"/>
    <w:tmpl w:val="C80A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C057F"/>
    <w:multiLevelType w:val="multilevel"/>
    <w:tmpl w:val="0664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1582E"/>
    <w:multiLevelType w:val="hybridMultilevel"/>
    <w:tmpl w:val="40B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867B9"/>
    <w:multiLevelType w:val="hybridMultilevel"/>
    <w:tmpl w:val="F51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235DB"/>
    <w:multiLevelType w:val="hybridMultilevel"/>
    <w:tmpl w:val="7CBA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20302"/>
    <w:multiLevelType w:val="multilevel"/>
    <w:tmpl w:val="FF74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173F7"/>
    <w:multiLevelType w:val="hybridMultilevel"/>
    <w:tmpl w:val="5810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C1F56"/>
    <w:multiLevelType w:val="multilevel"/>
    <w:tmpl w:val="E10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937C5"/>
    <w:multiLevelType w:val="multilevel"/>
    <w:tmpl w:val="5D7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F7BE7"/>
    <w:multiLevelType w:val="hybridMultilevel"/>
    <w:tmpl w:val="4474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04408"/>
    <w:multiLevelType w:val="multilevel"/>
    <w:tmpl w:val="458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746361"/>
    <w:multiLevelType w:val="multilevel"/>
    <w:tmpl w:val="779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A4428D"/>
    <w:multiLevelType w:val="multilevel"/>
    <w:tmpl w:val="BB0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713619"/>
    <w:multiLevelType w:val="hybridMultilevel"/>
    <w:tmpl w:val="59C6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E4F99"/>
    <w:multiLevelType w:val="multilevel"/>
    <w:tmpl w:val="E79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77849"/>
    <w:multiLevelType w:val="multilevel"/>
    <w:tmpl w:val="B42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3"/>
  </w:num>
  <w:num w:numId="4">
    <w:abstractNumId w:val="17"/>
  </w:num>
  <w:num w:numId="5">
    <w:abstractNumId w:val="13"/>
  </w:num>
  <w:num w:numId="6">
    <w:abstractNumId w:val="1"/>
  </w:num>
  <w:num w:numId="7">
    <w:abstractNumId w:val="9"/>
  </w:num>
  <w:num w:numId="8">
    <w:abstractNumId w:val="12"/>
  </w:num>
  <w:num w:numId="9">
    <w:abstractNumId w:val="10"/>
  </w:num>
  <w:num w:numId="10">
    <w:abstractNumId w:val="11"/>
  </w:num>
  <w:num w:numId="11">
    <w:abstractNumId w:val="2"/>
  </w:num>
  <w:num w:numId="12">
    <w:abstractNumId w:val="15"/>
  </w:num>
  <w:num w:numId="13">
    <w:abstractNumId w:val="0"/>
  </w:num>
  <w:num w:numId="14">
    <w:abstractNumId w:val="5"/>
  </w:num>
  <w:num w:numId="15">
    <w:abstractNumId w:val="6"/>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8F"/>
    <w:rsid w:val="00011B94"/>
    <w:rsid w:val="00014B0F"/>
    <w:rsid w:val="00090CDC"/>
    <w:rsid w:val="000A27B4"/>
    <w:rsid w:val="000C4254"/>
    <w:rsid w:val="000D2798"/>
    <w:rsid w:val="000D38DC"/>
    <w:rsid w:val="000E084B"/>
    <w:rsid w:val="000F57F9"/>
    <w:rsid w:val="00114A10"/>
    <w:rsid w:val="00145171"/>
    <w:rsid w:val="001638A3"/>
    <w:rsid w:val="00196994"/>
    <w:rsid w:val="00217911"/>
    <w:rsid w:val="00284477"/>
    <w:rsid w:val="002F690D"/>
    <w:rsid w:val="003065AD"/>
    <w:rsid w:val="00377095"/>
    <w:rsid w:val="00393324"/>
    <w:rsid w:val="003E2294"/>
    <w:rsid w:val="0041098B"/>
    <w:rsid w:val="004257D1"/>
    <w:rsid w:val="00453B08"/>
    <w:rsid w:val="0047026E"/>
    <w:rsid w:val="00476B13"/>
    <w:rsid w:val="004E493D"/>
    <w:rsid w:val="005234F1"/>
    <w:rsid w:val="005640FC"/>
    <w:rsid w:val="0056643A"/>
    <w:rsid w:val="00574294"/>
    <w:rsid w:val="00586AFA"/>
    <w:rsid w:val="005A0B39"/>
    <w:rsid w:val="005A4737"/>
    <w:rsid w:val="005B037C"/>
    <w:rsid w:val="0063326B"/>
    <w:rsid w:val="00661284"/>
    <w:rsid w:val="00672C1E"/>
    <w:rsid w:val="006B79DD"/>
    <w:rsid w:val="006F4CB0"/>
    <w:rsid w:val="006F64BB"/>
    <w:rsid w:val="00717FAB"/>
    <w:rsid w:val="0074428F"/>
    <w:rsid w:val="007648F9"/>
    <w:rsid w:val="00776B26"/>
    <w:rsid w:val="00822589"/>
    <w:rsid w:val="00870291"/>
    <w:rsid w:val="00896075"/>
    <w:rsid w:val="008D7F70"/>
    <w:rsid w:val="008E5B49"/>
    <w:rsid w:val="008F73E0"/>
    <w:rsid w:val="00932AA0"/>
    <w:rsid w:val="0095525C"/>
    <w:rsid w:val="009971CB"/>
    <w:rsid w:val="009B64A1"/>
    <w:rsid w:val="009E4697"/>
    <w:rsid w:val="00A02EA1"/>
    <w:rsid w:val="00A213E1"/>
    <w:rsid w:val="00A90351"/>
    <w:rsid w:val="00A91BCB"/>
    <w:rsid w:val="00A92B9E"/>
    <w:rsid w:val="00AF6C18"/>
    <w:rsid w:val="00BC298F"/>
    <w:rsid w:val="00BD4CAE"/>
    <w:rsid w:val="00BE6A64"/>
    <w:rsid w:val="00BF2027"/>
    <w:rsid w:val="00C34009"/>
    <w:rsid w:val="00CA7CC2"/>
    <w:rsid w:val="00D16707"/>
    <w:rsid w:val="00D1781F"/>
    <w:rsid w:val="00D41FD1"/>
    <w:rsid w:val="00D86339"/>
    <w:rsid w:val="00DB1530"/>
    <w:rsid w:val="00DC3D1B"/>
    <w:rsid w:val="00DC60C6"/>
    <w:rsid w:val="00DD1977"/>
    <w:rsid w:val="00DE66A6"/>
    <w:rsid w:val="00DF1C41"/>
    <w:rsid w:val="00DF4420"/>
    <w:rsid w:val="00E007C8"/>
    <w:rsid w:val="00E25302"/>
    <w:rsid w:val="00E264AC"/>
    <w:rsid w:val="00EA7C15"/>
    <w:rsid w:val="00F173D7"/>
    <w:rsid w:val="00F65FA3"/>
    <w:rsid w:val="00FA0A94"/>
    <w:rsid w:val="00FB2A51"/>
    <w:rsid w:val="00FB2B82"/>
    <w:rsid w:val="00FD165A"/>
    <w:rsid w:val="00FD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D4E9"/>
  <w15:chartTrackingRefBased/>
  <w15:docId w15:val="{CC4D005B-7A3A-4E71-AAD3-E864EA3A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6C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298F"/>
    <w:rPr>
      <w:b/>
      <w:bCs/>
    </w:rPr>
  </w:style>
  <w:style w:type="paragraph" w:styleId="EndnoteText">
    <w:name w:val="endnote text"/>
    <w:basedOn w:val="Normal"/>
    <w:link w:val="EndnoteTextChar"/>
    <w:uiPriority w:val="99"/>
    <w:semiHidden/>
    <w:unhideWhenUsed/>
    <w:rsid w:val="00776B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B26"/>
    <w:rPr>
      <w:sz w:val="20"/>
      <w:szCs w:val="20"/>
    </w:rPr>
  </w:style>
  <w:style w:type="character" w:styleId="EndnoteReference">
    <w:name w:val="endnote reference"/>
    <w:basedOn w:val="DefaultParagraphFont"/>
    <w:uiPriority w:val="99"/>
    <w:semiHidden/>
    <w:unhideWhenUsed/>
    <w:rsid w:val="00776B26"/>
    <w:rPr>
      <w:vertAlign w:val="superscript"/>
    </w:rPr>
  </w:style>
  <w:style w:type="paragraph" w:styleId="FootnoteText">
    <w:name w:val="footnote text"/>
    <w:basedOn w:val="Normal"/>
    <w:link w:val="FootnoteTextChar"/>
    <w:uiPriority w:val="99"/>
    <w:semiHidden/>
    <w:unhideWhenUsed/>
    <w:rsid w:val="00776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B26"/>
    <w:rPr>
      <w:sz w:val="20"/>
      <w:szCs w:val="20"/>
    </w:rPr>
  </w:style>
  <w:style w:type="character" w:styleId="FootnoteReference">
    <w:name w:val="footnote reference"/>
    <w:basedOn w:val="DefaultParagraphFont"/>
    <w:uiPriority w:val="99"/>
    <w:semiHidden/>
    <w:unhideWhenUsed/>
    <w:rsid w:val="00776B26"/>
    <w:rPr>
      <w:vertAlign w:val="superscript"/>
    </w:rPr>
  </w:style>
  <w:style w:type="character" w:styleId="Hyperlink">
    <w:name w:val="Hyperlink"/>
    <w:basedOn w:val="DefaultParagraphFont"/>
    <w:uiPriority w:val="99"/>
    <w:unhideWhenUsed/>
    <w:rsid w:val="00776B26"/>
    <w:rPr>
      <w:color w:val="0563C1" w:themeColor="hyperlink"/>
      <w:u w:val="single"/>
    </w:rPr>
  </w:style>
  <w:style w:type="character" w:customStyle="1" w:styleId="UnresolvedMention1">
    <w:name w:val="Unresolved Mention1"/>
    <w:basedOn w:val="DefaultParagraphFont"/>
    <w:uiPriority w:val="99"/>
    <w:semiHidden/>
    <w:unhideWhenUsed/>
    <w:rsid w:val="00776B26"/>
    <w:rPr>
      <w:color w:val="605E5C"/>
      <w:shd w:val="clear" w:color="auto" w:fill="E1DFDD"/>
    </w:rPr>
  </w:style>
  <w:style w:type="paragraph" w:styleId="ListParagraph">
    <w:name w:val="List Paragraph"/>
    <w:basedOn w:val="Normal"/>
    <w:uiPriority w:val="34"/>
    <w:qFormat/>
    <w:rsid w:val="00776B26"/>
    <w:pPr>
      <w:ind w:left="720"/>
      <w:contextualSpacing/>
    </w:pPr>
  </w:style>
  <w:style w:type="character" w:styleId="FollowedHyperlink">
    <w:name w:val="FollowedHyperlink"/>
    <w:basedOn w:val="DefaultParagraphFont"/>
    <w:uiPriority w:val="99"/>
    <w:semiHidden/>
    <w:unhideWhenUsed/>
    <w:rsid w:val="000E084B"/>
    <w:rPr>
      <w:color w:val="954F72" w:themeColor="followedHyperlink"/>
      <w:u w:val="single"/>
    </w:rPr>
  </w:style>
  <w:style w:type="paragraph" w:styleId="BalloonText">
    <w:name w:val="Balloon Text"/>
    <w:basedOn w:val="Normal"/>
    <w:link w:val="BalloonTextChar"/>
    <w:uiPriority w:val="99"/>
    <w:semiHidden/>
    <w:unhideWhenUsed/>
    <w:rsid w:val="000E0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4B"/>
    <w:rPr>
      <w:rFonts w:ascii="Segoe UI" w:hAnsi="Segoe UI" w:cs="Segoe UI"/>
      <w:sz w:val="18"/>
      <w:szCs w:val="18"/>
    </w:rPr>
  </w:style>
  <w:style w:type="character" w:styleId="CommentReference">
    <w:name w:val="annotation reference"/>
    <w:basedOn w:val="DefaultParagraphFont"/>
    <w:uiPriority w:val="99"/>
    <w:semiHidden/>
    <w:unhideWhenUsed/>
    <w:rsid w:val="00DF4420"/>
    <w:rPr>
      <w:sz w:val="16"/>
      <w:szCs w:val="16"/>
    </w:rPr>
  </w:style>
  <w:style w:type="paragraph" w:styleId="CommentText">
    <w:name w:val="annotation text"/>
    <w:basedOn w:val="Normal"/>
    <w:link w:val="CommentTextChar"/>
    <w:uiPriority w:val="99"/>
    <w:semiHidden/>
    <w:unhideWhenUsed/>
    <w:rsid w:val="00DF4420"/>
    <w:pPr>
      <w:spacing w:line="240" w:lineRule="auto"/>
    </w:pPr>
    <w:rPr>
      <w:sz w:val="20"/>
      <w:szCs w:val="20"/>
    </w:rPr>
  </w:style>
  <w:style w:type="character" w:customStyle="1" w:styleId="CommentTextChar">
    <w:name w:val="Comment Text Char"/>
    <w:basedOn w:val="DefaultParagraphFont"/>
    <w:link w:val="CommentText"/>
    <w:uiPriority w:val="99"/>
    <w:semiHidden/>
    <w:rsid w:val="00DF4420"/>
    <w:rPr>
      <w:sz w:val="20"/>
      <w:szCs w:val="20"/>
    </w:rPr>
  </w:style>
  <w:style w:type="paragraph" w:styleId="CommentSubject">
    <w:name w:val="annotation subject"/>
    <w:basedOn w:val="CommentText"/>
    <w:next w:val="CommentText"/>
    <w:link w:val="CommentSubjectChar"/>
    <w:uiPriority w:val="99"/>
    <w:semiHidden/>
    <w:unhideWhenUsed/>
    <w:rsid w:val="00DF4420"/>
    <w:rPr>
      <w:b/>
      <w:bCs/>
    </w:rPr>
  </w:style>
  <w:style w:type="character" w:customStyle="1" w:styleId="CommentSubjectChar">
    <w:name w:val="Comment Subject Char"/>
    <w:basedOn w:val="CommentTextChar"/>
    <w:link w:val="CommentSubject"/>
    <w:uiPriority w:val="99"/>
    <w:semiHidden/>
    <w:rsid w:val="00DF4420"/>
    <w:rPr>
      <w:b/>
      <w:bCs/>
      <w:sz w:val="20"/>
      <w:szCs w:val="20"/>
    </w:rPr>
  </w:style>
  <w:style w:type="paragraph" w:styleId="Revision">
    <w:name w:val="Revision"/>
    <w:hidden/>
    <w:uiPriority w:val="99"/>
    <w:semiHidden/>
    <w:rsid w:val="009B64A1"/>
    <w:pPr>
      <w:spacing w:after="0" w:line="240" w:lineRule="auto"/>
    </w:pPr>
  </w:style>
  <w:style w:type="character" w:customStyle="1" w:styleId="UnresolvedMention2">
    <w:name w:val="Unresolved Mention2"/>
    <w:basedOn w:val="DefaultParagraphFont"/>
    <w:uiPriority w:val="99"/>
    <w:semiHidden/>
    <w:unhideWhenUsed/>
    <w:rsid w:val="009B64A1"/>
    <w:rPr>
      <w:color w:val="605E5C"/>
      <w:shd w:val="clear" w:color="auto" w:fill="E1DFDD"/>
    </w:rPr>
  </w:style>
  <w:style w:type="character" w:customStyle="1" w:styleId="Heading2Char">
    <w:name w:val="Heading 2 Char"/>
    <w:basedOn w:val="DefaultParagraphFont"/>
    <w:link w:val="Heading2"/>
    <w:uiPriority w:val="9"/>
    <w:rsid w:val="00AF6C1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F6C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3B08"/>
  </w:style>
  <w:style w:type="character" w:styleId="UnresolvedMention">
    <w:name w:val="Unresolved Mention"/>
    <w:basedOn w:val="DefaultParagraphFont"/>
    <w:uiPriority w:val="99"/>
    <w:semiHidden/>
    <w:unhideWhenUsed/>
    <w:rsid w:val="006B79DD"/>
    <w:rPr>
      <w:color w:val="605E5C"/>
      <w:shd w:val="clear" w:color="auto" w:fill="E1DFDD"/>
    </w:rPr>
  </w:style>
  <w:style w:type="paragraph" w:customStyle="1" w:styleId="trt0xe">
    <w:name w:val="trt0xe"/>
    <w:basedOn w:val="Normal"/>
    <w:rsid w:val="006B79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99843">
      <w:bodyDiv w:val="1"/>
      <w:marLeft w:val="0"/>
      <w:marRight w:val="0"/>
      <w:marTop w:val="0"/>
      <w:marBottom w:val="0"/>
      <w:divBdr>
        <w:top w:val="none" w:sz="0" w:space="0" w:color="auto"/>
        <w:left w:val="none" w:sz="0" w:space="0" w:color="auto"/>
        <w:bottom w:val="none" w:sz="0" w:space="0" w:color="auto"/>
        <w:right w:val="none" w:sz="0" w:space="0" w:color="auto"/>
      </w:divBdr>
    </w:div>
    <w:div w:id="823401210">
      <w:bodyDiv w:val="1"/>
      <w:marLeft w:val="0"/>
      <w:marRight w:val="0"/>
      <w:marTop w:val="0"/>
      <w:marBottom w:val="0"/>
      <w:divBdr>
        <w:top w:val="none" w:sz="0" w:space="0" w:color="auto"/>
        <w:left w:val="none" w:sz="0" w:space="0" w:color="auto"/>
        <w:bottom w:val="none" w:sz="0" w:space="0" w:color="auto"/>
        <w:right w:val="none" w:sz="0" w:space="0" w:color="auto"/>
      </w:divBdr>
    </w:div>
    <w:div w:id="894392279">
      <w:bodyDiv w:val="1"/>
      <w:marLeft w:val="0"/>
      <w:marRight w:val="0"/>
      <w:marTop w:val="0"/>
      <w:marBottom w:val="0"/>
      <w:divBdr>
        <w:top w:val="none" w:sz="0" w:space="0" w:color="auto"/>
        <w:left w:val="none" w:sz="0" w:space="0" w:color="auto"/>
        <w:bottom w:val="none" w:sz="0" w:space="0" w:color="auto"/>
        <w:right w:val="none" w:sz="0" w:space="0" w:color="auto"/>
      </w:divBdr>
    </w:div>
    <w:div w:id="1031953580">
      <w:bodyDiv w:val="1"/>
      <w:marLeft w:val="0"/>
      <w:marRight w:val="0"/>
      <w:marTop w:val="0"/>
      <w:marBottom w:val="0"/>
      <w:divBdr>
        <w:top w:val="none" w:sz="0" w:space="0" w:color="auto"/>
        <w:left w:val="none" w:sz="0" w:space="0" w:color="auto"/>
        <w:bottom w:val="none" w:sz="0" w:space="0" w:color="auto"/>
        <w:right w:val="none" w:sz="0" w:space="0" w:color="auto"/>
      </w:divBdr>
    </w:div>
    <w:div w:id="1134828711">
      <w:bodyDiv w:val="1"/>
      <w:marLeft w:val="0"/>
      <w:marRight w:val="0"/>
      <w:marTop w:val="0"/>
      <w:marBottom w:val="0"/>
      <w:divBdr>
        <w:top w:val="none" w:sz="0" w:space="0" w:color="auto"/>
        <w:left w:val="none" w:sz="0" w:space="0" w:color="auto"/>
        <w:bottom w:val="none" w:sz="0" w:space="0" w:color="auto"/>
        <w:right w:val="none" w:sz="0" w:space="0" w:color="auto"/>
      </w:divBdr>
    </w:div>
    <w:div w:id="1161047828">
      <w:bodyDiv w:val="1"/>
      <w:marLeft w:val="0"/>
      <w:marRight w:val="0"/>
      <w:marTop w:val="0"/>
      <w:marBottom w:val="0"/>
      <w:divBdr>
        <w:top w:val="none" w:sz="0" w:space="0" w:color="auto"/>
        <w:left w:val="none" w:sz="0" w:space="0" w:color="auto"/>
        <w:bottom w:val="none" w:sz="0" w:space="0" w:color="auto"/>
        <w:right w:val="none" w:sz="0" w:space="0" w:color="auto"/>
      </w:divBdr>
    </w:div>
    <w:div w:id="1202938720">
      <w:bodyDiv w:val="1"/>
      <w:marLeft w:val="0"/>
      <w:marRight w:val="0"/>
      <w:marTop w:val="0"/>
      <w:marBottom w:val="0"/>
      <w:divBdr>
        <w:top w:val="none" w:sz="0" w:space="0" w:color="auto"/>
        <w:left w:val="none" w:sz="0" w:space="0" w:color="auto"/>
        <w:bottom w:val="none" w:sz="0" w:space="0" w:color="auto"/>
        <w:right w:val="none" w:sz="0" w:space="0" w:color="auto"/>
      </w:divBdr>
    </w:div>
    <w:div w:id="1418747043">
      <w:bodyDiv w:val="1"/>
      <w:marLeft w:val="0"/>
      <w:marRight w:val="0"/>
      <w:marTop w:val="0"/>
      <w:marBottom w:val="0"/>
      <w:divBdr>
        <w:top w:val="none" w:sz="0" w:space="0" w:color="auto"/>
        <w:left w:val="none" w:sz="0" w:space="0" w:color="auto"/>
        <w:bottom w:val="none" w:sz="0" w:space="0" w:color="auto"/>
        <w:right w:val="none" w:sz="0" w:space="0" w:color="auto"/>
      </w:divBdr>
    </w:div>
    <w:div w:id="1470438002">
      <w:bodyDiv w:val="1"/>
      <w:marLeft w:val="0"/>
      <w:marRight w:val="0"/>
      <w:marTop w:val="0"/>
      <w:marBottom w:val="0"/>
      <w:divBdr>
        <w:top w:val="none" w:sz="0" w:space="0" w:color="auto"/>
        <w:left w:val="none" w:sz="0" w:space="0" w:color="auto"/>
        <w:bottom w:val="none" w:sz="0" w:space="0" w:color="auto"/>
        <w:right w:val="none" w:sz="0" w:space="0" w:color="auto"/>
      </w:divBdr>
    </w:div>
    <w:div w:id="21058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uis.cam.ac.uk/service/collaboration/workspace" TargetMode="External"/><Relationship Id="rId18" Type="http://schemas.openxmlformats.org/officeDocument/2006/relationships/hyperlink" Target="https://www.hpc.cam.ac.uk/research-data-storage-services/research-cold-st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elp.uis.cam.ac.uk/onedrive" TargetMode="External"/><Relationship Id="rId17" Type="http://schemas.openxmlformats.org/officeDocument/2006/relationships/hyperlink" Target="file:///C:\minerva\centre" TargetMode="External"/><Relationship Id="rId2" Type="http://schemas.openxmlformats.org/officeDocument/2006/relationships/customXml" Target="../customXml/item2.xml"/><Relationship Id="rId16" Type="http://schemas.openxmlformats.org/officeDocument/2006/relationships/hyperlink" Target="https://libguides.princeton.edu/c.php?g=102546&amp;p=930626" TargetMode="External"/><Relationship Id="rId20" Type="http://schemas.openxmlformats.org/officeDocument/2006/relationships/hyperlink" Target="https://cscs.medschl.cam.ac.uk/server-services/secure-data-host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uis.cam.ac.uk/service/security/data-sec-classes" TargetMode="External"/><Relationship Id="rId5" Type="http://schemas.openxmlformats.org/officeDocument/2006/relationships/numbering" Target="numbering.xml"/><Relationship Id="rId15" Type="http://schemas.openxmlformats.org/officeDocument/2006/relationships/hyperlink" Target="https://confluence.medschl.cam.ac.uk/x/vQhEAQ" TargetMode="External"/><Relationship Id="rId10" Type="http://schemas.openxmlformats.org/officeDocument/2006/relationships/endnotes" Target="endnotes.xml"/><Relationship Id="rId19" Type="http://schemas.openxmlformats.org/officeDocument/2006/relationships/hyperlink" Target="https://www.hpc.cam.ac.uk/research-data-storage-services/research-cold-st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uence.medschl.cam.ac.uk/x/PaLXBQ"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pc.cam.ac.uk/research-data-storage-services/pric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DAEAB5A573924B933B41A98417979C" ma:contentTypeVersion="13" ma:contentTypeDescription="Create a new document." ma:contentTypeScope="" ma:versionID="cb0b777b8eb22ae3aa59598bd33f9375">
  <xsd:schema xmlns:xsd="http://www.w3.org/2001/XMLSchema" xmlns:xs="http://www.w3.org/2001/XMLSchema" xmlns:p="http://schemas.microsoft.com/office/2006/metadata/properties" xmlns:ns3="5298d4e7-c492-40a2-8539-f4bb8283c1ba" xmlns:ns4="93771899-22da-4119-8626-4d500261ab2a" targetNamespace="http://schemas.microsoft.com/office/2006/metadata/properties" ma:root="true" ma:fieldsID="25e13751c3e7e05fe5a29eb1110cda6d" ns3:_="" ns4:_="">
    <xsd:import namespace="5298d4e7-c492-40a2-8539-f4bb8283c1ba"/>
    <xsd:import namespace="93771899-22da-4119-8626-4d500261ab2a"/>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8d4e7-c492-40a2-8539-f4bb8283c1b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71899-22da-4119-8626-4d500261ab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9ED54-7B96-495B-9BE3-5DF765ADCA3F}">
  <ds:schemaRefs>
    <ds:schemaRef ds:uri="http://schemas.openxmlformats.org/officeDocument/2006/bibliography"/>
  </ds:schemaRefs>
</ds:datastoreItem>
</file>

<file path=customXml/itemProps2.xml><?xml version="1.0" encoding="utf-8"?>
<ds:datastoreItem xmlns:ds="http://schemas.openxmlformats.org/officeDocument/2006/customXml" ds:itemID="{62062177-FF85-4408-9A4A-B18DA69CF7E6}">
  <ds:schemaRefs>
    <ds:schemaRef ds:uri="http://schemas.microsoft.com/sharepoint/v3/contenttype/forms"/>
  </ds:schemaRefs>
</ds:datastoreItem>
</file>

<file path=customXml/itemProps3.xml><?xml version="1.0" encoding="utf-8"?>
<ds:datastoreItem xmlns:ds="http://schemas.openxmlformats.org/officeDocument/2006/customXml" ds:itemID="{D4787DAC-A4B7-463E-909E-A83BB7911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90EF2-8C88-4800-9C23-592901F46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8d4e7-c492-40a2-8539-f4bb8283c1ba"/>
    <ds:schemaRef ds:uri="93771899-22da-4119-8626-4d500261a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Frayling Cork</dc:creator>
  <cp:keywords/>
  <dc:description/>
  <cp:lastModifiedBy>Matthew Frayling Cork</cp:lastModifiedBy>
  <cp:revision>6</cp:revision>
  <cp:lastPrinted>2020-08-10T11:42:00Z</cp:lastPrinted>
  <dcterms:created xsi:type="dcterms:W3CDTF">2021-11-08T16:10:00Z</dcterms:created>
  <dcterms:modified xsi:type="dcterms:W3CDTF">2021-11-10T10:22:00Z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0x01010081DAEAB5A573924B933B41A98417979C</vt:lpwstr>
  </property>
</Properties>
</file>